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2A52">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重庆广播电视集团（总台）2026年度常年法律顾问整体服务采购项目竞争性比选文件</w:t>
      </w:r>
    </w:p>
    <w:p w14:paraId="6E5245C7">
      <w:pPr>
        <w:spacing w:line="52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w:t>
      </w:r>
    </w:p>
    <w:p w14:paraId="5390A8E9">
      <w:pPr>
        <w:spacing w:line="52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2025年12月</w:t>
      </w:r>
    </w:p>
    <w:p w14:paraId="557EA037">
      <w:pPr>
        <w:jc w:val="left"/>
      </w:pPr>
      <w:r>
        <w:t>目录</w:t>
      </w:r>
    </w:p>
    <w:p w14:paraId="3E856F22">
      <w:r>
        <w:t>第一章 比选公告 ..................................................................................................................</w:t>
      </w:r>
      <w:r>
        <w:rPr>
          <w:rFonts w:hint="eastAsia"/>
        </w:rPr>
        <w:t>2</w:t>
      </w:r>
    </w:p>
    <w:p w14:paraId="523D4722">
      <w:r>
        <w:t xml:space="preserve">第二章 参选人须知 ............................................................................................................. </w:t>
      </w:r>
      <w:r>
        <w:rPr>
          <w:rFonts w:hint="eastAsia"/>
        </w:rPr>
        <w:t>6</w:t>
      </w:r>
      <w:r>
        <w:br w:type="textWrapping"/>
      </w:r>
      <w:r>
        <w:t>一、项目文件说明 ..............................................................................................................</w:t>
      </w:r>
      <w:r>
        <w:rPr>
          <w:rFonts w:hint="eastAsia"/>
        </w:rPr>
        <w:t xml:space="preserve"> 6</w:t>
      </w:r>
      <w:r>
        <w:br w:type="textWrapping"/>
      </w:r>
      <w:r>
        <w:t>（一）适用范围 ..................................................................................................................</w:t>
      </w:r>
      <w:r>
        <w:rPr>
          <w:rFonts w:hint="eastAsia"/>
        </w:rPr>
        <w:t xml:space="preserve"> 6</w:t>
      </w:r>
      <w:r>
        <w:br w:type="textWrapping"/>
      </w:r>
      <w:r>
        <w:t>（二）比选规则 ..................................................................................................................</w:t>
      </w:r>
      <w:r>
        <w:rPr>
          <w:rFonts w:hint="eastAsia"/>
        </w:rPr>
        <w:t>.6</w:t>
      </w:r>
      <w:r>
        <w:br w:type="textWrapping"/>
      </w:r>
      <w:r>
        <w:t xml:space="preserve">二、参选文件编制 .............................................................................................................. </w:t>
      </w:r>
      <w:r>
        <w:rPr>
          <w:rFonts w:hint="eastAsia"/>
        </w:rPr>
        <w:t>6</w:t>
      </w:r>
      <w:r>
        <w:br w:type="textWrapping"/>
      </w:r>
      <w:r>
        <w:t xml:space="preserve">（一）基本要求 .................................................................................................................. </w:t>
      </w:r>
      <w:r>
        <w:rPr>
          <w:rFonts w:hint="eastAsia"/>
        </w:rPr>
        <w:t>6</w:t>
      </w:r>
      <w:r>
        <w:br w:type="textWrapping"/>
      </w:r>
      <w:r>
        <w:t>（二）参选文件结构与内容要求 .....................................................................................</w:t>
      </w:r>
      <w:r>
        <w:rPr>
          <w:rFonts w:hint="eastAsia"/>
        </w:rPr>
        <w:t>..6</w:t>
      </w:r>
      <w:r>
        <w:br w:type="textWrapping"/>
      </w:r>
      <w:r>
        <w:t>（三）参选文件的有效期 .................................................................................................</w:t>
      </w:r>
      <w:r>
        <w:rPr>
          <w:rFonts w:hint="eastAsia"/>
        </w:rPr>
        <w:t>.</w:t>
      </w:r>
      <w:r>
        <w:t xml:space="preserve"> </w:t>
      </w:r>
      <w:r>
        <w:rPr>
          <w:rFonts w:hint="eastAsia"/>
        </w:rPr>
        <w:t>8</w:t>
      </w:r>
      <w:r>
        <w:br w:type="textWrapping"/>
      </w:r>
      <w:r>
        <w:t>（四）参选文件的签署和份数 .........................................................................................</w:t>
      </w:r>
      <w:r>
        <w:rPr>
          <w:rFonts w:hint="eastAsia"/>
        </w:rPr>
        <w:t>.</w:t>
      </w:r>
      <w:r>
        <w:t xml:space="preserve"> </w:t>
      </w:r>
      <w:r>
        <w:rPr>
          <w:rFonts w:hint="eastAsia"/>
        </w:rPr>
        <w:t>9</w:t>
      </w:r>
      <w:r>
        <w:br w:type="textWrapping"/>
      </w:r>
      <w:r>
        <w:t xml:space="preserve">（五）参选文件的递交 ..................................................................................................... </w:t>
      </w:r>
      <w:r>
        <w:rPr>
          <w:rFonts w:hint="eastAsia"/>
        </w:rPr>
        <w:t>.9</w:t>
      </w:r>
      <w:r>
        <w:br w:type="textWrapping"/>
      </w:r>
      <w:r>
        <w:t xml:space="preserve">（六）参选文件无效的情形 ............................................................................................. </w:t>
      </w:r>
      <w:r>
        <w:rPr>
          <w:rFonts w:hint="eastAsia"/>
        </w:rPr>
        <w:t>.9</w:t>
      </w:r>
      <w:r>
        <w:br w:type="textWrapping"/>
      </w:r>
      <w:r>
        <w:t>三、评议 ..............................................................................................................................</w:t>
      </w:r>
      <w:r>
        <w:rPr>
          <w:rFonts w:hint="eastAsia"/>
        </w:rPr>
        <w:t>10</w:t>
      </w:r>
      <w:r>
        <w:br w:type="textWrapping"/>
      </w:r>
      <w:r>
        <w:t>四、公示 ...............................................................................................................................</w:t>
      </w:r>
      <w:r>
        <w:rPr>
          <w:rFonts w:hint="eastAsia"/>
        </w:rPr>
        <w:t>10</w:t>
      </w:r>
      <w:r>
        <w:br w:type="textWrapping"/>
      </w:r>
      <w:r>
        <w:t>五、通知 ...............................................................................................................................</w:t>
      </w:r>
      <w:r>
        <w:rPr>
          <w:rFonts w:hint="eastAsia"/>
        </w:rPr>
        <w:t>10</w:t>
      </w:r>
      <w:r>
        <w:br w:type="textWrapping"/>
      </w:r>
      <w:r>
        <w:t>六、合同洽谈与签订 ...........................................................................................................</w:t>
      </w:r>
      <w:r>
        <w:rPr>
          <w:rFonts w:hint="eastAsia"/>
        </w:rPr>
        <w:t>11</w:t>
      </w:r>
      <w:r>
        <w:br w:type="textWrapping"/>
      </w:r>
      <w:r>
        <w:t>七、其他 ...............................................................................................................................</w:t>
      </w:r>
      <w:r>
        <w:rPr>
          <w:rFonts w:hint="eastAsia"/>
        </w:rPr>
        <w:t>11</w:t>
      </w:r>
    </w:p>
    <w:p w14:paraId="11AA8E77">
      <w:r>
        <w:t xml:space="preserve">第三章 评议规则 ................................................................................................................. </w:t>
      </w:r>
      <w:r>
        <w:rPr>
          <w:rFonts w:hint="eastAsia"/>
        </w:rPr>
        <w:t>11</w:t>
      </w:r>
      <w:r>
        <w:br w:type="textWrapping"/>
      </w:r>
      <w:r>
        <w:t xml:space="preserve">一、评审流程 ...................................................................................................................... </w:t>
      </w:r>
      <w:r>
        <w:rPr>
          <w:rFonts w:hint="eastAsia"/>
        </w:rPr>
        <w:t>12</w:t>
      </w:r>
      <w:r>
        <w:br w:type="textWrapping"/>
      </w:r>
      <w:r>
        <w:t>二、评议办法及分值安排 ...................................................................................................</w:t>
      </w:r>
      <w:r>
        <w:rPr>
          <w:rFonts w:hint="eastAsia"/>
        </w:rPr>
        <w:t>12</w:t>
      </w:r>
      <w:r>
        <w:br w:type="textWrapping"/>
      </w:r>
      <w:r>
        <w:t>三、中选候选人 ...................................................................................................................</w:t>
      </w:r>
      <w:r>
        <w:rPr>
          <w:rFonts w:hint="eastAsia"/>
        </w:rPr>
        <w:t>16</w:t>
      </w:r>
    </w:p>
    <w:p w14:paraId="46B986C4">
      <w:r>
        <w:t>第四章 参选文件格式范例 ...............................................................................................</w:t>
      </w:r>
      <w:r>
        <w:rPr>
          <w:rFonts w:hint="eastAsia"/>
        </w:rPr>
        <w:t>....17</w:t>
      </w:r>
    </w:p>
    <w:p w14:paraId="22B9C064">
      <w:r>
        <w:rPr>
          <w:rFonts w:hint="eastAsia"/>
        </w:rPr>
        <w:t>一、报名信息表</w:t>
      </w:r>
      <w:r>
        <w:t xml:space="preserve"> .................................................................................................................</w:t>
      </w:r>
      <w:r>
        <w:rPr>
          <w:rFonts w:hint="eastAsia"/>
        </w:rPr>
        <w:t>...17</w:t>
      </w:r>
      <w:r>
        <w:br w:type="textWrapping"/>
      </w:r>
      <w:r>
        <w:rPr>
          <w:rFonts w:hint="eastAsia"/>
        </w:rPr>
        <w:t>二</w:t>
      </w:r>
      <w:r>
        <w:t>、参选文件函 .................................................................................................................</w:t>
      </w:r>
      <w:r>
        <w:rPr>
          <w:rFonts w:hint="eastAsia"/>
        </w:rPr>
        <w:t>...19</w:t>
      </w:r>
      <w:r>
        <w:br w:type="textWrapping"/>
      </w:r>
      <w:r>
        <w:rPr>
          <w:rFonts w:hint="eastAsia"/>
        </w:rPr>
        <w:t>三</w:t>
      </w:r>
      <w:r>
        <w:t>、法定代表人（负责人）授权书 .................................................................................</w:t>
      </w:r>
      <w:r>
        <w:rPr>
          <w:rFonts w:hint="eastAsia"/>
        </w:rPr>
        <w:t>...19</w:t>
      </w:r>
      <w:r>
        <w:br w:type="textWrapping"/>
      </w:r>
      <w:r>
        <w:rPr>
          <w:rFonts w:hint="eastAsia"/>
        </w:rPr>
        <w:t>四</w:t>
      </w:r>
      <w:r>
        <w:t>、服务报价表 ................................................................................................................</w:t>
      </w:r>
      <w:r>
        <w:rPr>
          <w:rFonts w:hint="eastAsia"/>
        </w:rPr>
        <w:t>....20</w:t>
      </w:r>
      <w:r>
        <w:br w:type="textWrapping"/>
      </w:r>
      <w:r>
        <w:rPr>
          <w:rFonts w:hint="eastAsia"/>
        </w:rPr>
        <w:t>五</w:t>
      </w:r>
      <w:r>
        <w:t>、其他法律服务收费参考报价 .....................................................................................</w:t>
      </w:r>
      <w:r>
        <w:rPr>
          <w:rFonts w:hint="eastAsia"/>
        </w:rPr>
        <w:t>....21</w:t>
      </w:r>
      <w:r>
        <w:br w:type="textWrapping"/>
      </w:r>
      <w:r>
        <w:rPr>
          <w:rFonts w:hint="eastAsia"/>
        </w:rPr>
        <w:t>六</w:t>
      </w:r>
      <w:r>
        <w:t>、项目服务团队组成 .....................................................................................................</w:t>
      </w:r>
      <w:r>
        <w:rPr>
          <w:rFonts w:hint="eastAsia"/>
        </w:rPr>
        <w:t>....22</w:t>
      </w:r>
      <w:r>
        <w:br w:type="textWrapping"/>
      </w:r>
      <w:r>
        <w:rPr>
          <w:rFonts w:hint="eastAsia"/>
        </w:rPr>
        <w:t>七</w:t>
      </w:r>
      <w:r>
        <w:t>、承诺书 .........................................................................................................................</w:t>
      </w:r>
      <w:r>
        <w:rPr>
          <w:rFonts w:hint="eastAsia"/>
        </w:rPr>
        <w:t>....24</w:t>
      </w:r>
    </w:p>
    <w:p w14:paraId="1B77705F">
      <w:pPr>
        <w:pStyle w:val="2"/>
        <w:ind w:left="0" w:leftChars="0" w:firstLine="0" w:firstLineChars="0"/>
      </w:pPr>
      <w:r>
        <w:rPr>
          <w:rFonts w:hint="eastAsia"/>
        </w:rPr>
        <w:t>八、其他特别承诺</w:t>
      </w:r>
      <w:r>
        <w:t xml:space="preserve"> .............................................................................................................</w:t>
      </w:r>
      <w:r>
        <w:rPr>
          <w:rFonts w:hint="eastAsia"/>
        </w:rPr>
        <w:t>....23</w:t>
      </w:r>
    </w:p>
    <w:p w14:paraId="5160964F">
      <w:r>
        <w:t>第五章 合同主要条款（</w:t>
      </w:r>
      <w:r>
        <w:rPr>
          <w:rFonts w:hint="eastAsia"/>
        </w:rPr>
        <w:t>节选</w:t>
      </w:r>
      <w:r>
        <w:t>） .......................................................................................</w:t>
      </w:r>
      <w:r>
        <w:rPr>
          <w:rFonts w:hint="eastAsia"/>
        </w:rPr>
        <w:t>.....25</w:t>
      </w:r>
      <w:r>
        <w:br w:type="textWrapping"/>
      </w:r>
    </w:p>
    <w:p w14:paraId="50EC5F19">
      <w:pPr>
        <w:rPr>
          <w:rFonts w:ascii="方正黑体简体" w:hAnsi="方正黑体简体" w:eastAsia="方正黑体简体" w:cs="方正黑体简体"/>
          <w:sz w:val="30"/>
          <w:szCs w:val="30"/>
        </w:rPr>
      </w:pPr>
      <w:r>
        <w:br w:type="page"/>
      </w:r>
    </w:p>
    <w:p w14:paraId="137E50C6">
      <w:pPr>
        <w:spacing w:line="500" w:lineRule="exact"/>
        <w:jc w:val="center"/>
      </w:pPr>
      <w:r>
        <w:rPr>
          <w:rFonts w:hint="eastAsia" w:ascii="方正黑体简体" w:hAnsi="方正黑体简体" w:eastAsia="方正黑体简体" w:cs="方正黑体简体"/>
          <w:sz w:val="30"/>
          <w:szCs w:val="30"/>
        </w:rPr>
        <w:t>第一章 比选公告</w:t>
      </w:r>
    </w:p>
    <w:p w14:paraId="324048F9">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为有效运用外部法律专业资源，提高法律服务质量，充分维护自身合法权益，重庆广播电视集团（总台）（以下简称“采购人”）</w:t>
      </w:r>
      <w:r>
        <w:rPr>
          <w:rFonts w:hint="eastAsia" w:ascii="Times New Roman" w:hAnsi="Times New Roman" w:eastAsia="方正仿宋_GBK" w:cs="Times New Roman"/>
          <w:sz w:val="30"/>
          <w:szCs w:val="30"/>
        </w:rPr>
        <w:t>将</w:t>
      </w:r>
      <w:r>
        <w:rPr>
          <w:rFonts w:ascii="Times New Roman" w:hAnsi="Times New Roman" w:eastAsia="方正仿宋_GBK" w:cs="Times New Roman"/>
          <w:sz w:val="30"/>
          <w:szCs w:val="30"/>
        </w:rPr>
        <w:t>通过竞争性比选的公开采购方式确定2026年度常年法律顾问</w:t>
      </w:r>
      <w:r>
        <w:rPr>
          <w:rFonts w:hint="eastAsia" w:ascii="Times New Roman" w:hAnsi="Times New Roman" w:eastAsia="方正仿宋_GBK" w:cs="Times New Roman"/>
          <w:sz w:val="30"/>
          <w:szCs w:val="30"/>
        </w:rPr>
        <w:t>整体</w:t>
      </w:r>
      <w:r>
        <w:rPr>
          <w:rFonts w:ascii="Times New Roman" w:hAnsi="Times New Roman" w:eastAsia="方正仿宋_GBK" w:cs="Times New Roman"/>
          <w:sz w:val="30"/>
          <w:szCs w:val="30"/>
        </w:rPr>
        <w:t>服务项目的合作单位，欢迎符合资格条件要求的律师事务所（以下简称“参选人”）参加。</w:t>
      </w:r>
    </w:p>
    <w:p w14:paraId="438C89BA">
      <w:pPr>
        <w:spacing w:line="50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一、项目概况</w:t>
      </w:r>
    </w:p>
    <w:p w14:paraId="5975DD8F">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（一）项目名称：重庆广播电视集团（总台）2026年度常年法律顾问整体服务</w:t>
      </w:r>
    </w:p>
    <w:p w14:paraId="25281CEA">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（二）项目内容：本项目公开采购确定5家律师事务所，组成重庆广播电视集团（总台）常年法律顾问团队，向重庆广播电视集团（总台）</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重庆广播电视传媒集团股份有限公司及下属的华龙网公司</w:t>
      </w:r>
      <w:r>
        <w:rPr>
          <w:rFonts w:hint="eastAsia" w:ascii="Times New Roman" w:hAnsi="Times New Roman" w:eastAsia="方正仿宋_GBK" w:cs="Times New Roman"/>
          <w:sz w:val="30"/>
          <w:szCs w:val="30"/>
        </w:rPr>
        <w:t>等</w:t>
      </w:r>
      <w:r>
        <w:rPr>
          <w:rFonts w:ascii="Times New Roman" w:hAnsi="Times New Roman" w:eastAsia="方正仿宋_GBK" w:cs="Times New Roman"/>
          <w:sz w:val="30"/>
          <w:szCs w:val="30"/>
        </w:rPr>
        <w:t>17家企事业单位提供整体法律服务和法律专业指导。服务内容主要包括：配合集团法律事务部开展集团法律服务工作，包括但不限于承担日常法律咨询、法律文本审核、项目协商谈判及尽职调查、出具法律意见书及法律论证报告、发送律师函；处理争议协商和解及非诉讼纠纷，提供诉讼（仲裁）案件代理方案；普法教育培训、法律专题研讨，以及采购人要求的其他工作。</w:t>
      </w:r>
    </w:p>
    <w:p w14:paraId="0FCEF1D3">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（三）采购期限：壹年，2026年1月1日至2026年12月31日（具体以合同签订日期为准）。</w:t>
      </w:r>
    </w:p>
    <w:p w14:paraId="45DD760C">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（四）采购方式：竞争性比选。采用综合评估法对参选律师事务所的服务水平、服务方案、服务报价等指标进行综合评分，遴选得分排名前</w:t>
      </w:r>
      <w:r>
        <w:rPr>
          <w:rFonts w:hint="eastAsia" w:ascii="Times New Roman" w:hAnsi="Times New Roman" w:eastAsia="方正仿宋_GBK" w:cs="Times New Roman"/>
          <w:sz w:val="30"/>
          <w:szCs w:val="30"/>
        </w:rPr>
        <w:t>五</w:t>
      </w:r>
      <w:r>
        <w:rPr>
          <w:rFonts w:ascii="Times New Roman" w:hAnsi="Times New Roman" w:eastAsia="方正仿宋_GBK" w:cs="Times New Roman"/>
          <w:sz w:val="30"/>
          <w:szCs w:val="30"/>
        </w:rPr>
        <w:t>位的律师事务所洽谈并签订《常年法律顾问服务合同》，组成常年法律顾问团队。</w:t>
      </w:r>
    </w:p>
    <w:p w14:paraId="496F3E54">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（五）最高限价：集团对常年法律顾问单位采取年度打包价形式支付年费，与每一家律师事务所签订的《常年法律顾问服务合同》年费最高限价人民币16万元（大写：壹拾陆万元）/年。</w:t>
      </w:r>
    </w:p>
    <w:p w14:paraId="6AF0B4B8">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合同期内关于上述第（二）条所指的服务内容均包含在年费范围内，不另外付费。若有公司上市、并购重组、重大投融资、重大基建工程等重大项目的专项法律服务及一般民商刑事诉讼（仲裁）案件代理，届时将由采购人基于实际情况，以参选人在参选文件中提供的相应收费标准及收费模式为参考，通过协商或比选的方式再予以确定，另行签订服务合同并支付费用。</w:t>
      </w:r>
    </w:p>
    <w:p w14:paraId="0678940D">
      <w:pPr>
        <w:spacing w:line="500" w:lineRule="exact"/>
        <w:ind w:firstLine="600" w:firstLineChars="200"/>
        <w:rPr>
          <w:rFonts w:ascii="Times New Roman" w:hAnsi="Times New Roman" w:eastAsia="方正仿宋_GBK" w:cs="Times New Roman"/>
          <w:sz w:val="30"/>
          <w:szCs w:val="30"/>
        </w:rPr>
      </w:pPr>
      <w:r>
        <w:rPr>
          <w:rFonts w:hint="eastAsia" w:ascii="方正黑体简体" w:hAnsi="方正黑体简体" w:eastAsia="方正黑体简体" w:cs="方正黑体简体"/>
          <w:sz w:val="30"/>
          <w:szCs w:val="30"/>
        </w:rPr>
        <w:t>二、参选人资格条件要求</w:t>
      </w:r>
    </w:p>
    <w:p w14:paraId="4A04A8D4">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（一）律所资质</w:t>
      </w:r>
    </w:p>
    <w:p w14:paraId="3576333C">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在中国大陆境内合法登记（注册），具有省级司法行政部门正式颁发的律师事务所执业许可证并经年检合格。</w:t>
      </w:r>
    </w:p>
    <w:p w14:paraId="13039ECA">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具备优良的履约能力，具有依法缴纳税收和社会保障资金的良好记录，近5年内未受过司法行政管理机关的行政处罚，未受过律师协会纪律惩戒，未有被“信用中国”网站（www.creditchina.gov.cn）、“国家企业信用信息公示系统”（www.gsxt.gov.cn）和中国政府采购网(www.ccgp.gov.cn)列入重点关注名单、黑名单、经营异常名录、严重违法失信企业名单等的不良信用记录。</w:t>
      </w:r>
    </w:p>
    <w:p w14:paraId="1DF2B6D8">
      <w:pPr>
        <w:spacing w:line="500" w:lineRule="exact"/>
        <w:ind w:firstLine="600" w:firstLineChars="200"/>
        <w:rPr>
          <w:rFonts w:hint="eastAsia" w:ascii="方正仿宋_GBK" w:hAnsi="Times New Roman" w:eastAsia="方正仿宋_GBK" w:cs="Times New Roman"/>
          <w:sz w:val="30"/>
          <w:szCs w:val="30"/>
        </w:rPr>
      </w:pPr>
      <w:r>
        <w:rPr>
          <w:rFonts w:hint="eastAsia" w:ascii="方正仿宋_GBK" w:hAnsi="Times New Roman" w:eastAsia="方正仿宋_GBK" w:cs="Times New Roman"/>
          <w:sz w:val="30"/>
          <w:szCs w:val="30"/>
        </w:rPr>
        <w:t>3.以往业绩。参选人近3年内至少担任过一家大型企事业单位的常年法律顾问，并出具服务合同关键页等证明材料，拥有与采购人单位相匹配的服务经验和能力。</w:t>
      </w:r>
    </w:p>
    <w:p w14:paraId="7584A6E6">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参选人股东非采购人及下属企业单位的在职员工或其直系亲属（需提供承诺书加盖公章）。</w:t>
      </w:r>
    </w:p>
    <w:p w14:paraId="57689F68">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不同参选人的法定代表负责人为同一人或者存在直接控股、管理关系的，不得同时参加本次比选采购活动，否则均视为不符合参选人资格条件要求。（需提供承诺书加盖公章）。</w:t>
      </w:r>
    </w:p>
    <w:p w14:paraId="4DC3F076">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sz w:val="30"/>
          <w:szCs w:val="30"/>
        </w:rPr>
        <w:t>参选人需承诺与采购人及其下属单位不存在现实或潜在的利益冲突（需提供承诺书加盖公章）。</w:t>
      </w:r>
    </w:p>
    <w:p w14:paraId="00A78FAF">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7</w:t>
      </w:r>
      <w:r>
        <w:rPr>
          <w:rFonts w:ascii="Times New Roman" w:hAnsi="Times New Roman" w:eastAsia="方正仿宋_GBK" w:cs="Times New Roman"/>
          <w:sz w:val="30"/>
          <w:szCs w:val="30"/>
        </w:rPr>
        <w:t>. 参选人需在重庆市设有常驻办公场所（需提供证明文件，如租赁合同或房产证复印件）。</w:t>
      </w:r>
    </w:p>
    <w:p w14:paraId="0E1CFCDE">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（二）团队要求</w:t>
      </w:r>
    </w:p>
    <w:p w14:paraId="3CD94924">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专业配置。需按照采购人主营业务范围配置专业团队，应具备公司法人治理、企业并购重组、投融资及资本运作、知识产权、劳动人事、工程建设、财税法务、争议解决等境内外业务领域法律专业能力和实践经验。在媒体运营、影视剧投资、内容制播、版权经营、电子商务、文化演出、文化旅游等专业领域具</w:t>
      </w:r>
      <w:r>
        <w:rPr>
          <w:rFonts w:hint="eastAsia" w:ascii="Times New Roman" w:hAnsi="Times New Roman" w:eastAsia="方正仿宋_GBK" w:cs="Times New Roman"/>
          <w:sz w:val="30"/>
          <w:szCs w:val="30"/>
        </w:rPr>
        <w:t>有</w:t>
      </w:r>
      <w:r>
        <w:rPr>
          <w:rFonts w:ascii="Times New Roman" w:hAnsi="Times New Roman" w:eastAsia="方正仿宋_GBK" w:cs="Times New Roman"/>
          <w:sz w:val="30"/>
          <w:szCs w:val="30"/>
        </w:rPr>
        <w:t>业内特别影响力，执业经验丰富，年富力强者优先。</w:t>
      </w:r>
    </w:p>
    <w:p w14:paraId="3F9CE14F">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团队构成。参选人拟派往本项目提供实际服务的团队律师人数应在5人及以上，团队应包含项目团队负责人、项目服务执行团队、项目服务保障团队。合同期内项目团队负责人应固定，且应保持团队成员总体稳定，若需更换团队成员应事先通知并征询</w:t>
      </w:r>
      <w:r>
        <w:rPr>
          <w:rFonts w:hint="eastAsia" w:ascii="Times New Roman" w:hAnsi="Times New Roman" w:eastAsia="方正仿宋_GBK" w:cs="Times New Roman"/>
          <w:sz w:val="30"/>
          <w:szCs w:val="30"/>
        </w:rPr>
        <w:t>采购人</w:t>
      </w:r>
      <w:r>
        <w:rPr>
          <w:rFonts w:ascii="Times New Roman" w:hAnsi="Times New Roman" w:eastAsia="方正仿宋_GBK" w:cs="Times New Roman"/>
          <w:sz w:val="30"/>
          <w:szCs w:val="30"/>
        </w:rPr>
        <w:t>意见。</w:t>
      </w:r>
    </w:p>
    <w:p w14:paraId="7E4F01CE">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团队资质。</w:t>
      </w:r>
    </w:p>
    <w:p w14:paraId="781FC562">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项目团队负责人。拟派往本项目的团队负责人应为参选人高级合伙人及以上资深执业律师，执业时间10年以上，是参选人提供法律服务的总负责人，能够按采购人要求高效、精准调配团队成员，原则上为1~2人。</w:t>
      </w:r>
    </w:p>
    <w:p w14:paraId="6EAE1D7C">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项目服务执行团队。拟派往本项目的执行团队律师应是正式取得执业资格的律师并有5年及以上执业经验，近5年内无违法违规和不良执业记录，具有良好的职业道德和敬业精神，主要负责协助团队负责人做好日常法律顾问工作，执行团队成员具体人选由参选人根据自身优势确定，人数不低于4人。</w:t>
      </w:r>
    </w:p>
    <w:p w14:paraId="4BFAB725">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项目服务保障团队。拟派往本项目的保障团队律师主要是为补充执行团队律师某专业领域不足及从事某专项法律服务而设，具体人选及人数由参选人根据采购人要求以及自身对广电传媒相关产业领域业务活动的理解自行确定。</w:t>
      </w:r>
    </w:p>
    <w:p w14:paraId="3E706291">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工作量保证。参选人团队需在一年服务期内提供不低于1500份法律文本审核，不低于500小时法律咨询的日常法律服务。</w:t>
      </w:r>
    </w:p>
    <w:p w14:paraId="3A6E6FB9">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（三）本项目不接受联合体参选。</w:t>
      </w:r>
    </w:p>
    <w:p w14:paraId="06707488">
      <w:pPr>
        <w:spacing w:line="50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三、比选文件获取</w:t>
      </w:r>
    </w:p>
    <w:p w14:paraId="23E36767">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本项目比选文件在采购人所属公共媒体"阳光重庆"</w:t>
      </w:r>
      <w:r>
        <w:rPr>
          <w:rFonts w:hint="eastAsia" w:ascii="Times New Roman" w:hAnsi="Times New Roman" w:eastAsia="方正仿宋_GBK" w:cs="Times New Roman"/>
          <w:sz w:val="30"/>
          <w:szCs w:val="30"/>
        </w:rPr>
        <w:t>（网址</w:t>
      </w:r>
      <w:r>
        <w:fldChar w:fldCharType="begin"/>
      </w:r>
      <w:r>
        <w:instrText xml:space="preserve"> HYPERLINK "https://www.ygcq.com.cn/" \t "https://chat.deepseek.com/a/chat/s/_blank" </w:instrText>
      </w:r>
      <w:r>
        <w:fldChar w:fldCharType="separate"/>
      </w:r>
      <w:r>
        <w:rPr>
          <w:rFonts w:ascii="Times New Roman" w:hAnsi="Times New Roman" w:eastAsia="方正仿宋_GBK" w:cs="Times New Roman"/>
          <w:sz w:val="30"/>
          <w:szCs w:val="30"/>
        </w:rPr>
        <w:t>https://www.ygcq.com.cn/</w:t>
      </w:r>
      <w:r>
        <w:rPr>
          <w:rFonts w:ascii="Times New Roman" w:hAnsi="Times New Roman" w:eastAsia="方正仿宋_GBK" w:cs="Times New Roman"/>
          <w:sz w:val="30"/>
          <w:szCs w:val="30"/>
        </w:rPr>
        <w:fldChar w:fldCharType="end"/>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和第1眼TV APP发布，凡有意参加比选者，请自行下载。</w:t>
      </w:r>
    </w:p>
    <w:p w14:paraId="1D23CA9F">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同时，参选人需在参选文件递送截止时间前，将报名信息（</w:t>
      </w:r>
      <w:r>
        <w:rPr>
          <w:rFonts w:hint="eastAsia" w:ascii="Times New Roman" w:hAnsi="Times New Roman" w:eastAsia="方正仿宋_GBK" w:cs="Times New Roman"/>
          <w:b/>
          <w:bCs/>
          <w:sz w:val="30"/>
          <w:szCs w:val="30"/>
        </w:rPr>
        <w:t>律师事务所名称+</w:t>
      </w:r>
      <w:r>
        <w:rPr>
          <w:rFonts w:ascii="Times New Roman" w:hAnsi="Times New Roman" w:eastAsia="方正仿宋_GBK" w:cs="Times New Roman"/>
          <w:b/>
          <w:bCs/>
          <w:sz w:val="30"/>
          <w:szCs w:val="30"/>
        </w:rPr>
        <w:t>律师事务所执业许可证扫描件</w:t>
      </w:r>
      <w:r>
        <w:rPr>
          <w:rFonts w:hint="eastAsia" w:ascii="Times New Roman" w:hAnsi="Times New Roman" w:eastAsia="方正仿宋_GBK" w:cs="Times New Roman"/>
          <w:b/>
          <w:bCs/>
          <w:sz w:val="30"/>
          <w:szCs w:val="30"/>
        </w:rPr>
        <w:t>等，格式参见样表</w:t>
      </w:r>
      <w:r>
        <w:rPr>
          <w:rFonts w:ascii="Times New Roman" w:hAnsi="Times New Roman" w:eastAsia="方正仿宋_GBK" w:cs="Times New Roman"/>
          <w:sz w:val="30"/>
          <w:szCs w:val="30"/>
        </w:rPr>
        <w:t>）发送至指定邮箱</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457614881@qq.com</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，方被视为报名成功。</w:t>
      </w:r>
    </w:p>
    <w:p w14:paraId="08AE9088">
      <w:pPr>
        <w:spacing w:line="50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四、参选文件递送截止时间及地点、比选时间地点</w:t>
      </w:r>
    </w:p>
    <w:p w14:paraId="3D071C31">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递送截止时间</w:t>
      </w:r>
      <w:r>
        <w:rPr>
          <w:rFonts w:hint="eastAsia" w:ascii="Times New Roman" w:hAnsi="Times New Roman" w:eastAsia="方正仿宋_GBK" w:cs="Times New Roman"/>
          <w:sz w:val="30"/>
          <w:szCs w:val="30"/>
        </w:rPr>
        <w:t>及地点</w:t>
      </w:r>
      <w:r>
        <w:rPr>
          <w:rFonts w:ascii="Times New Roman" w:hAnsi="Times New Roman" w:eastAsia="方正仿宋_GBK" w:cs="Times New Roman"/>
          <w:sz w:val="30"/>
          <w:szCs w:val="30"/>
        </w:rPr>
        <w:t>：2025年12月</w:t>
      </w:r>
      <w:r>
        <w:rPr>
          <w:rFonts w:hint="eastAsia" w:ascii="Times New Roman" w:hAnsi="Times New Roman" w:eastAsia="方正仿宋_GBK" w:cs="Times New Roman"/>
          <w:sz w:val="30"/>
          <w:szCs w:val="30"/>
        </w:rPr>
        <w:t>10</w:t>
      </w:r>
      <w:r>
        <w:rPr>
          <w:rFonts w:ascii="Times New Roman" w:hAnsi="Times New Roman" w:eastAsia="方正仿宋_GBK" w:cs="Times New Roman"/>
          <w:sz w:val="30"/>
          <w:szCs w:val="30"/>
        </w:rPr>
        <w:t>日（星期</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）上午</w:t>
      </w:r>
      <w:r>
        <w:rPr>
          <w:rFonts w:hint="eastAsia" w:ascii="Times New Roman" w:hAnsi="Times New Roman" w:eastAsia="方正仿宋_GBK" w:cs="Times New Roman"/>
          <w:sz w:val="30"/>
          <w:szCs w:val="30"/>
        </w:rPr>
        <w:t>10</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0；</w:t>
      </w:r>
      <w:r>
        <w:rPr>
          <w:rFonts w:ascii="Times New Roman" w:hAnsi="Times New Roman" w:eastAsia="方正仿宋_GBK" w:cs="Times New Roman"/>
          <w:sz w:val="30"/>
          <w:szCs w:val="30"/>
        </w:rPr>
        <w:t>重庆市渝北区龙山大道333号广电大厦12楼开评标室。</w:t>
      </w:r>
    </w:p>
    <w:p w14:paraId="4D085156">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比选时间</w:t>
      </w:r>
      <w:r>
        <w:rPr>
          <w:rFonts w:hint="eastAsia" w:ascii="Times New Roman" w:hAnsi="Times New Roman" w:eastAsia="方正仿宋_GBK" w:cs="Times New Roman"/>
          <w:sz w:val="30"/>
          <w:szCs w:val="30"/>
        </w:rPr>
        <w:t>及地点</w:t>
      </w:r>
      <w:r>
        <w:rPr>
          <w:rFonts w:ascii="Times New Roman" w:hAnsi="Times New Roman" w:eastAsia="方正仿宋_GBK" w:cs="Times New Roman"/>
          <w:sz w:val="30"/>
          <w:szCs w:val="30"/>
        </w:rPr>
        <w:t>：2025年12月</w:t>
      </w:r>
      <w:r>
        <w:rPr>
          <w:rFonts w:hint="eastAsia" w:ascii="Times New Roman" w:hAnsi="Times New Roman" w:eastAsia="方正仿宋_GBK" w:cs="Times New Roman"/>
          <w:sz w:val="30"/>
          <w:szCs w:val="30"/>
        </w:rPr>
        <w:t>10</w:t>
      </w:r>
      <w:r>
        <w:rPr>
          <w:rFonts w:ascii="Times New Roman" w:hAnsi="Times New Roman" w:eastAsia="方正仿宋_GBK" w:cs="Times New Roman"/>
          <w:sz w:val="30"/>
          <w:szCs w:val="30"/>
        </w:rPr>
        <w:t>日（星期</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）上午</w:t>
      </w:r>
      <w:r>
        <w:rPr>
          <w:rFonts w:hint="eastAsia" w:ascii="Times New Roman" w:hAnsi="Times New Roman" w:eastAsia="方正仿宋_GBK" w:cs="Times New Roman"/>
          <w:sz w:val="30"/>
          <w:szCs w:val="30"/>
        </w:rPr>
        <w:t>10</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0</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w:t>
      </w:r>
    </w:p>
    <w:p w14:paraId="0458D875">
      <w:pPr>
        <w:spacing w:line="500" w:lineRule="exact"/>
      </w:pPr>
      <w:r>
        <w:rPr>
          <w:rFonts w:ascii="Times New Roman" w:hAnsi="Times New Roman" w:eastAsia="方正仿宋_GBK" w:cs="Times New Roman"/>
          <w:sz w:val="30"/>
          <w:szCs w:val="30"/>
        </w:rPr>
        <w:t>重庆市渝北区龙山大道333号广电大厦12楼开评标室。</w:t>
      </w:r>
    </w:p>
    <w:p w14:paraId="3DA5DB5F">
      <w:pPr>
        <w:spacing w:line="50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五、参选文件递交</w:t>
      </w:r>
    </w:p>
    <w:p w14:paraId="6AD28401">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参选人应持授权委托书将密封的参选文件于</w:t>
      </w:r>
      <w:r>
        <w:rPr>
          <w:rFonts w:hint="eastAsia" w:ascii="Times New Roman" w:hAnsi="Times New Roman" w:eastAsia="方正仿宋_GBK" w:cs="Times New Roman"/>
          <w:sz w:val="30"/>
          <w:szCs w:val="30"/>
        </w:rPr>
        <w:t>递送</w:t>
      </w:r>
      <w:r>
        <w:rPr>
          <w:rFonts w:ascii="Times New Roman" w:hAnsi="Times New Roman" w:eastAsia="方正仿宋_GBK" w:cs="Times New Roman"/>
          <w:sz w:val="30"/>
          <w:szCs w:val="30"/>
        </w:rPr>
        <w:t>截止日期前送达至广电大厦12楼开评标室。届时请参选人指派授权代表</w:t>
      </w:r>
      <w:r>
        <w:rPr>
          <w:rFonts w:hint="eastAsia" w:ascii="Times New Roman" w:hAnsi="Times New Roman" w:eastAsia="方正仿宋_GBK" w:cs="Times New Roman"/>
          <w:sz w:val="30"/>
          <w:szCs w:val="30"/>
        </w:rPr>
        <w:t>1人</w:t>
      </w:r>
      <w:r>
        <w:rPr>
          <w:rFonts w:ascii="Times New Roman" w:hAnsi="Times New Roman" w:eastAsia="方正仿宋_GBK" w:cs="Times New Roman"/>
          <w:sz w:val="30"/>
          <w:szCs w:val="30"/>
        </w:rPr>
        <w:t>按具体通知要求于指定时间和地点参与比选。</w:t>
      </w:r>
    </w:p>
    <w:p w14:paraId="746B8623">
      <w:pPr>
        <w:spacing w:line="50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六、联系方式</w:t>
      </w:r>
    </w:p>
    <w:p w14:paraId="74EE4051">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联系人：罗老师，李老师；联系电话：023-63635619</w:t>
      </w:r>
    </w:p>
    <w:p w14:paraId="46009718">
      <w:pPr>
        <w:adjustRightInd w:val="0"/>
        <w:snapToGrid w:val="0"/>
        <w:spacing w:line="500" w:lineRule="exact"/>
        <w:ind w:firstLine="4480" w:firstLineChars="1400"/>
        <w:rPr>
          <w:rFonts w:ascii="方正仿宋_GBK" w:hAnsi="方正仿宋_GBK" w:eastAsia="方正仿宋_GBK"/>
          <w:sz w:val="32"/>
          <w:szCs w:val="32"/>
        </w:rPr>
      </w:pPr>
      <w:r>
        <w:rPr>
          <w:rFonts w:hint="eastAsia" w:ascii="方正仿宋_GBK" w:hAnsi="方正仿宋_GBK" w:eastAsia="方正仿宋_GBK"/>
          <w:sz w:val="32"/>
          <w:szCs w:val="32"/>
        </w:rPr>
        <w:t>重庆广播电视集团（总台）</w:t>
      </w:r>
    </w:p>
    <w:p w14:paraId="2E84D1EB">
      <w:pPr>
        <w:adjustRightInd w:val="0"/>
        <w:snapToGrid w:val="0"/>
        <w:spacing w:line="500" w:lineRule="exact"/>
        <w:ind w:firstLine="5120" w:firstLineChars="1600"/>
        <w:rPr>
          <w:rFonts w:ascii="Times New Roman" w:hAnsi="方正仿宋_GBK" w:eastAsia="方正仿宋_GBK"/>
          <w:sz w:val="32"/>
          <w:szCs w:val="32"/>
        </w:rPr>
      </w:pPr>
      <w:r>
        <w:rPr>
          <w:rFonts w:hint="eastAsia" w:ascii="Times New Roman" w:hAnsi="方正仿宋_GBK" w:eastAsia="方正仿宋_GBK"/>
          <w:sz w:val="32"/>
          <w:szCs w:val="32"/>
        </w:rPr>
        <w:t>2025年12月0</w:t>
      </w:r>
      <w:r>
        <w:rPr>
          <w:rFonts w:hint="eastAsia" w:ascii="Times New Roman" w:hAnsi="方正仿宋_GBK" w:eastAsia="方正仿宋_GBK"/>
          <w:sz w:val="32"/>
          <w:szCs w:val="32"/>
          <w:lang w:val="en-US" w:eastAsia="zh-CN"/>
        </w:rPr>
        <w:t>5</w:t>
      </w:r>
      <w:bookmarkStart w:id="0" w:name="_GoBack"/>
      <w:bookmarkEnd w:id="0"/>
      <w:r>
        <w:rPr>
          <w:rFonts w:hint="eastAsia" w:ascii="Times New Roman" w:hAnsi="方正仿宋_GBK" w:eastAsia="方正仿宋_GBK"/>
          <w:sz w:val="32"/>
          <w:szCs w:val="32"/>
        </w:rPr>
        <w:t>日</w:t>
      </w:r>
    </w:p>
    <w:p w14:paraId="2F231837">
      <w:pPr>
        <w:pStyle w:val="2"/>
      </w:pPr>
      <w:r>
        <w:br w:type="page"/>
      </w:r>
    </w:p>
    <w:p w14:paraId="63527D83">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第二章 参选人须知</w:t>
      </w:r>
    </w:p>
    <w:p w14:paraId="4AA76F5D">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一、项目文件说明</w:t>
      </w:r>
    </w:p>
    <w:p w14:paraId="7461F369">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（一）适用范围</w:t>
      </w:r>
    </w:p>
    <w:p w14:paraId="1400650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本次所有项目文件仅适用于重庆广播电视集团（总台）2026年度常年法律顾问整体服务采购项目竞争性比选。</w:t>
      </w:r>
    </w:p>
    <w:p w14:paraId="6388D5C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（二）比选规则</w:t>
      </w:r>
    </w:p>
    <w:p w14:paraId="426A706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本次公开采购采取竞争性比选方式，遵循平等、公平、择优的原则，维护双方的合法权益。</w:t>
      </w:r>
    </w:p>
    <w:p w14:paraId="7DD22773">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二、参选文件编制</w:t>
      </w:r>
    </w:p>
    <w:p w14:paraId="681826F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（一）基本要求</w:t>
      </w:r>
    </w:p>
    <w:p w14:paraId="2ADF215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参选人应仔细阅读比选文件的全部内容，按照比选文件的要求，详细编制参选文件，并保证所提供资料的真实性，否则，参选将被拒绝。</w:t>
      </w:r>
    </w:p>
    <w:p w14:paraId="48C61FC6">
      <w:pPr>
        <w:spacing w:line="520" w:lineRule="exact"/>
        <w:ind w:firstLine="600" w:firstLineChars="200"/>
        <w:rPr>
          <w:rFonts w:ascii="Times New Roman" w:hAnsi="Times New Roman" w:eastAsia="方正仿宋_GBK" w:cs="Times New Roman"/>
          <w:b/>
          <w:bCs/>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参选人</w:t>
      </w:r>
      <w:r>
        <w:rPr>
          <w:rFonts w:hint="eastAsia" w:ascii="Times New Roman" w:hAnsi="Times New Roman" w:eastAsia="方正仿宋_GBK" w:cs="Times New Roman"/>
          <w:sz w:val="30"/>
          <w:szCs w:val="30"/>
        </w:rPr>
        <w:t>应</w:t>
      </w:r>
      <w:r>
        <w:rPr>
          <w:rFonts w:ascii="Times New Roman" w:hAnsi="Times New Roman" w:eastAsia="方正仿宋_GBK" w:cs="Times New Roman"/>
          <w:sz w:val="30"/>
          <w:szCs w:val="30"/>
        </w:rPr>
        <w:t>按照</w:t>
      </w:r>
      <w:r>
        <w:rPr>
          <w:rFonts w:hint="eastAsia" w:ascii="Times New Roman" w:hAnsi="Times New Roman" w:eastAsia="方正仿宋_GBK" w:cs="Times New Roman"/>
          <w:sz w:val="30"/>
          <w:szCs w:val="30"/>
        </w:rPr>
        <w:t>比选文件</w:t>
      </w:r>
      <w:r>
        <w:rPr>
          <w:rFonts w:ascii="Times New Roman" w:hAnsi="Times New Roman" w:eastAsia="方正仿宋_GBK" w:cs="Times New Roman"/>
          <w:sz w:val="30"/>
          <w:szCs w:val="30"/>
        </w:rPr>
        <w:t>要求提交</w:t>
      </w:r>
      <w:r>
        <w:rPr>
          <w:rFonts w:hint="eastAsia" w:ascii="Times New Roman" w:hAnsi="Times New Roman" w:eastAsia="方正仿宋_GBK" w:cs="Times New Roman"/>
          <w:sz w:val="30"/>
          <w:szCs w:val="30"/>
        </w:rPr>
        <w:t>参选文件</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对照</w:t>
      </w:r>
      <w:r>
        <w:rPr>
          <w:rFonts w:ascii="Times New Roman" w:hAnsi="Times New Roman" w:eastAsia="方正仿宋_GBK" w:cs="Times New Roman"/>
          <w:sz w:val="30"/>
          <w:szCs w:val="30"/>
        </w:rPr>
        <w:t>比选文件</w:t>
      </w:r>
      <w:r>
        <w:rPr>
          <w:rFonts w:hint="eastAsia" w:ascii="Times New Roman" w:hAnsi="Times New Roman" w:eastAsia="方正仿宋_GBK" w:cs="Times New Roman"/>
          <w:sz w:val="30"/>
          <w:szCs w:val="30"/>
        </w:rPr>
        <w:t>，</w:t>
      </w:r>
      <w:r>
        <w:rPr>
          <w:rFonts w:ascii="Times New Roman" w:hAnsi="Times New Roman" w:eastAsia="方正仿宋_GBK" w:cs="Times New Roman"/>
          <w:b/>
          <w:bCs/>
          <w:sz w:val="30"/>
          <w:szCs w:val="30"/>
        </w:rPr>
        <w:t>特别是第三章“评议规则”中的评分细则</w:t>
      </w:r>
      <w:r>
        <w:rPr>
          <w:rFonts w:ascii="Times New Roman" w:hAnsi="Times New Roman" w:eastAsia="方正仿宋_GBK" w:cs="Times New Roman"/>
          <w:sz w:val="30"/>
          <w:szCs w:val="30"/>
        </w:rPr>
        <w:t>在各方面都做出实质性响应，</w:t>
      </w:r>
      <w:r>
        <w:rPr>
          <w:rFonts w:hint="eastAsia" w:ascii="Times New Roman" w:hAnsi="Times New Roman" w:eastAsia="方正仿宋_GBK" w:cs="Times New Roman"/>
          <w:sz w:val="30"/>
          <w:szCs w:val="30"/>
        </w:rPr>
        <w:t>否则，</w:t>
      </w:r>
      <w:r>
        <w:rPr>
          <w:rFonts w:ascii="Times New Roman" w:hAnsi="Times New Roman" w:eastAsia="方正仿宋_GBK" w:cs="Times New Roman"/>
          <w:sz w:val="30"/>
          <w:szCs w:val="30"/>
        </w:rPr>
        <w:t>其参选文件</w:t>
      </w:r>
      <w:r>
        <w:rPr>
          <w:rFonts w:hint="eastAsia" w:ascii="Times New Roman" w:hAnsi="Times New Roman" w:eastAsia="方正仿宋_GBK" w:cs="Times New Roman"/>
          <w:sz w:val="30"/>
          <w:szCs w:val="30"/>
        </w:rPr>
        <w:t>将</w:t>
      </w:r>
      <w:r>
        <w:rPr>
          <w:rFonts w:ascii="Times New Roman" w:hAnsi="Times New Roman" w:eastAsia="方正仿宋_GBK" w:cs="Times New Roman"/>
          <w:sz w:val="30"/>
          <w:szCs w:val="30"/>
        </w:rPr>
        <w:t>被拒绝</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相应风险由参选人自行承担，</w:t>
      </w:r>
    </w:p>
    <w:p w14:paraId="7A39C4AB">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（二）参选文件结构与内容要求</w:t>
      </w:r>
    </w:p>
    <w:p w14:paraId="73C5AEFF">
      <w:pPr>
        <w:spacing w:line="52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参选文件必须编制目录，并严格按照以下顺序和内容要求进行组织。评审将以本文件明确要求的内容为依据</w:t>
      </w:r>
      <w:r>
        <w:rPr>
          <w:rFonts w:ascii="Times New Roman" w:hAnsi="Times New Roman" w:eastAsia="方正仿宋_GBK" w:cs="Times New Roman"/>
          <w:b/>
          <w:bCs/>
          <w:sz w:val="30"/>
          <w:szCs w:val="30"/>
        </w:rPr>
        <w:t>，</w:t>
      </w:r>
      <w:r>
        <w:rPr>
          <w:rFonts w:hint="eastAsia" w:ascii="Times New Roman" w:hAnsi="Times New Roman" w:eastAsia="方正仿宋_GBK" w:cs="Times New Roman"/>
          <w:b/>
          <w:bCs/>
          <w:sz w:val="30"/>
          <w:szCs w:val="30"/>
        </w:rPr>
        <w:t>请勿提供多余和</w:t>
      </w:r>
      <w:r>
        <w:rPr>
          <w:rFonts w:ascii="Times New Roman" w:hAnsi="Times New Roman" w:eastAsia="方正仿宋_GBK" w:cs="Times New Roman"/>
          <w:b/>
          <w:bCs/>
          <w:sz w:val="30"/>
          <w:szCs w:val="30"/>
        </w:rPr>
        <w:t>无关材料，</w:t>
      </w:r>
      <w:r>
        <w:rPr>
          <w:rFonts w:hint="eastAsia" w:ascii="Times New Roman" w:hAnsi="Times New Roman" w:eastAsia="方正仿宋_GBK" w:cs="Times New Roman"/>
          <w:b/>
          <w:bCs/>
          <w:sz w:val="30"/>
          <w:szCs w:val="30"/>
        </w:rPr>
        <w:t>避免</w:t>
      </w:r>
      <w:r>
        <w:rPr>
          <w:rFonts w:ascii="Times New Roman" w:hAnsi="Times New Roman" w:eastAsia="方正仿宋_GBK" w:cs="Times New Roman"/>
          <w:b/>
          <w:bCs/>
          <w:sz w:val="30"/>
          <w:szCs w:val="30"/>
        </w:rPr>
        <w:t>掩盖关键信息而对参选人不利。</w:t>
      </w:r>
    </w:p>
    <w:p w14:paraId="21602935">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第一部分：价格部分</w:t>
      </w:r>
    </w:p>
    <w:p w14:paraId="0614D2A3">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《服务报价表》（格式详见第四章）：必须明确填写常年法律顾问服务年费报价（人民币元），以及诉讼、非诉讼专项等其他法律服务收费参考报价。</w:t>
      </w:r>
    </w:p>
    <w:p w14:paraId="4C7C2FC6">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第二部分：资格符合性审查部分</w:t>
      </w:r>
    </w:p>
    <w:p w14:paraId="13A2BB3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本部分文件用于审查参选人是否具备参加比选的基本资格。请按顺序提供以下文件的复印件并加盖公章：</w:t>
      </w:r>
    </w:p>
    <w:p w14:paraId="26EE16C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2.参选文件函（格式详见第四章）</w:t>
      </w:r>
    </w:p>
    <w:p w14:paraId="40944569">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3.法定代表人（负责人）授权书及授权代表身份证复印件</w:t>
      </w:r>
    </w:p>
    <w:p w14:paraId="449E9B6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4.律师事务所执业许可证</w:t>
      </w:r>
    </w:p>
    <w:p w14:paraId="750B311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5.参选人在重庆设有办公场所的证明文件</w:t>
      </w:r>
    </w:p>
    <w:p w14:paraId="0701A0C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6.依法开展经营活动、信用良好的承诺书</w:t>
      </w:r>
    </w:p>
    <w:p w14:paraId="3ECA7BC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7.非广电集团在职员工或其直系亲属的承诺书</w:t>
      </w:r>
    </w:p>
    <w:p w14:paraId="2F3CB53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8.无关联关系承诺书</w:t>
      </w:r>
    </w:p>
    <w:p w14:paraId="6C04FFF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9.不存在利益冲突的承诺书</w:t>
      </w:r>
    </w:p>
    <w:p w14:paraId="2812553B">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10.近3年内担任大型企事业单位常年法律顾问的合同关键页（体现签约方、服务内容、签章页即可）</w:t>
      </w:r>
    </w:p>
    <w:p w14:paraId="0CFF5E8F">
      <w:pPr>
        <w:spacing w:line="52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第三部分：评审资料部分</w:t>
      </w:r>
    </w:p>
    <w:p w14:paraId="3A46F497">
      <w:pPr>
        <w:spacing w:line="52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本部分内容将直接用于第三章“评议规则”的综合评分。请务必严格按照</w:t>
      </w:r>
      <w:r>
        <w:rPr>
          <w:rFonts w:hint="eastAsia" w:ascii="Times New Roman" w:hAnsi="Times New Roman" w:eastAsia="方正仿宋_GBK" w:cs="Times New Roman"/>
          <w:b/>
          <w:bCs/>
          <w:sz w:val="30"/>
          <w:szCs w:val="30"/>
        </w:rPr>
        <w:t>评分细则及编制要求提供相关评审资料，具体见表格中“评分项”及“</w:t>
      </w:r>
      <w:r>
        <w:rPr>
          <w:rFonts w:ascii="Times New Roman" w:hAnsi="Times New Roman" w:eastAsia="方正仿宋_GBK" w:cs="Times New Roman"/>
          <w:b/>
          <w:bCs/>
          <w:sz w:val="30"/>
          <w:szCs w:val="30"/>
        </w:rPr>
        <w:t>需提供的核心证明材料</w:t>
      </w:r>
      <w:r>
        <w:rPr>
          <w:rFonts w:hint="eastAsia" w:ascii="Times New Roman" w:hAnsi="Times New Roman" w:eastAsia="方正仿宋_GBK" w:cs="Times New Roman"/>
          <w:b/>
          <w:bCs/>
          <w:sz w:val="30"/>
          <w:szCs w:val="30"/>
        </w:rPr>
        <w:t>与编制要求”</w:t>
      </w:r>
      <w:r>
        <w:rPr>
          <w:rFonts w:ascii="Times New Roman" w:hAnsi="Times New Roman" w:eastAsia="方正仿宋_GBK" w:cs="Times New Roman"/>
          <w:b/>
          <w:bCs/>
          <w:sz w:val="30"/>
          <w:szCs w:val="30"/>
        </w:rPr>
        <w:t>的指引，逐项提供清晰、简洁的证明和说明</w:t>
      </w:r>
      <w:r>
        <w:rPr>
          <w:rFonts w:hint="eastAsia" w:ascii="Times New Roman" w:hAnsi="Times New Roman" w:eastAsia="方正仿宋_GBK" w:cs="Times New Roman"/>
          <w:b/>
          <w:bCs/>
          <w:sz w:val="30"/>
          <w:szCs w:val="30"/>
        </w:rPr>
        <w:t>，须</w:t>
      </w:r>
      <w:r>
        <w:rPr>
          <w:rFonts w:ascii="Times New Roman" w:hAnsi="Times New Roman" w:eastAsia="方正仿宋_GBK" w:cs="Times New Roman"/>
          <w:b/>
          <w:bCs/>
          <w:sz w:val="30"/>
          <w:szCs w:val="30"/>
        </w:rPr>
        <w:t>使用明显的标题</w:t>
      </w:r>
      <w:r>
        <w:rPr>
          <w:rFonts w:hint="eastAsia" w:ascii="Times New Roman" w:hAnsi="Times New Roman" w:eastAsia="方正仿宋_GBK" w:cs="Times New Roman"/>
          <w:b/>
          <w:bCs/>
          <w:sz w:val="30"/>
          <w:szCs w:val="30"/>
        </w:rPr>
        <w:t>和</w:t>
      </w:r>
      <w:r>
        <w:rPr>
          <w:rFonts w:ascii="Times New Roman" w:hAnsi="Times New Roman" w:eastAsia="方正仿宋_GBK" w:cs="Times New Roman"/>
          <w:b/>
          <w:bCs/>
          <w:sz w:val="30"/>
          <w:szCs w:val="30"/>
        </w:rPr>
        <w:t>索引</w:t>
      </w:r>
      <w:r>
        <w:rPr>
          <w:rFonts w:hint="eastAsia" w:ascii="Times New Roman" w:hAnsi="Times New Roman" w:eastAsia="方正仿宋_GBK" w:cs="Times New Roman"/>
          <w:b/>
          <w:bCs/>
          <w:sz w:val="30"/>
          <w:szCs w:val="30"/>
        </w:rPr>
        <w:t>。</w:t>
      </w:r>
    </w:p>
    <w:p w14:paraId="1F51771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11.商务部分</w:t>
      </w:r>
    </w:p>
    <w:p w14:paraId="76A9232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11.1行业服务经验</w:t>
      </w:r>
      <w:r>
        <w:rPr>
          <w:rFonts w:hint="eastAsia" w:ascii="Times New Roman" w:hAnsi="Times New Roman" w:eastAsia="方正仿宋_GBK" w:cs="Times New Roman"/>
          <w:sz w:val="30"/>
          <w:szCs w:val="30"/>
        </w:rPr>
        <w:t>。</w:t>
      </w:r>
    </w:p>
    <w:p w14:paraId="2B8E894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11.2典型案例能力。</w:t>
      </w:r>
    </w:p>
    <w:p w14:paraId="27228E27">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11.3团队荣誉与资质。</w:t>
      </w:r>
    </w:p>
    <w:p w14:paraId="6FA69705">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12.服务部分</w:t>
      </w:r>
    </w:p>
    <w:p w14:paraId="058B652E">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12.1服务团队配置与专业能力</w:t>
      </w:r>
      <w:r>
        <w:rPr>
          <w:rFonts w:hint="eastAsia" w:ascii="Times New Roman" w:hAnsi="Times New Roman" w:eastAsia="方正仿宋_GBK" w:cs="Times New Roman"/>
          <w:sz w:val="30"/>
          <w:szCs w:val="30"/>
        </w:rPr>
        <w:t>。</w:t>
      </w:r>
    </w:p>
    <w:p w14:paraId="4CE5945C">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12.2服务内容与量化承诺。</w:t>
      </w:r>
    </w:p>
    <w:p w14:paraId="07EB2A1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12.3服务机制与对接保障。</w:t>
      </w:r>
    </w:p>
    <w:p w14:paraId="1D1C4D9C">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12.4行业理解与解决方案。</w:t>
      </w:r>
    </w:p>
    <w:p w14:paraId="280CD6B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12.5增值服务与优惠方案。</w:t>
      </w:r>
    </w:p>
    <w:p w14:paraId="31A73CC3">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（三）参选文件的有效期</w:t>
      </w:r>
    </w:p>
    <w:p w14:paraId="5211F260">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自比选评议日起60天内，参选文件应保持有效。有效期短于这个规定期限的参选将被拒绝。</w:t>
      </w:r>
    </w:p>
    <w:p w14:paraId="23F440A7">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在特殊情况下，采购人可与参选人协商延长参选文件的有效期，这种要求和答复均以书面形式进行。</w:t>
      </w:r>
    </w:p>
    <w:p w14:paraId="3A627205">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（四）参选文件的签署和份数</w:t>
      </w:r>
    </w:p>
    <w:p w14:paraId="555E9AB1">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参选文件需参选人的法定代表人（负责人）签字，并加盖公章，参选人应写全称。</w:t>
      </w:r>
    </w:p>
    <w:p w14:paraId="009A7E2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除参选人对文字错误作必要修改外，参选文件不得涂改和增删，如有修改，须由签署参选文件的负责人在修改处签字并加盖公章。</w:t>
      </w:r>
    </w:p>
    <w:p w14:paraId="491082DF">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参选人需递交纸质参选文件一式叁份，其中正本壹份，副本贰份，A4幅面装订。</w:t>
      </w:r>
    </w:p>
    <w:p w14:paraId="1D38C36B">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（五）参选文件的递交</w:t>
      </w:r>
    </w:p>
    <w:p w14:paraId="1DC64A81">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参选文件应按以下方式装袋密封：参选文件密封袋内装参选文件正本壹份、副本贰份。封口处应有参选人公章。封皮上写明采购项目名称、参选人名称，并注明"参选文件"、"评议时启封"字样。</w:t>
      </w:r>
    </w:p>
    <w:p w14:paraId="6633DE2C">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参选人应在比选公告要求的参选人报名截止时间前将参选文件送达至采购人指定的报名地点，逾期不予受理。</w:t>
      </w:r>
    </w:p>
    <w:p w14:paraId="5909B01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（六）参选文件无效的情形</w:t>
      </w:r>
    </w:p>
    <w:p w14:paraId="629E5FF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发生下列情况之一的参选文件被视为无效，比选评议小组应否决其参选：</w:t>
      </w:r>
    </w:p>
    <w:p w14:paraId="7CDA1837">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在参选人报名截止时间以后送达的参选文件；</w:t>
      </w:r>
    </w:p>
    <w:p w14:paraId="2D4B3CAA">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参选文件未经参选人的法定代表人（负责人）签字并加盖公章；</w:t>
      </w:r>
    </w:p>
    <w:p w14:paraId="1D7B338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参选人不符合比选文件规定的资格条件；</w:t>
      </w:r>
    </w:p>
    <w:p w14:paraId="146B1C41">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同一参选人提交两个以上不同的参选文件，或者同一服务项目提供两个以上不同的参选服务报价；</w:t>
      </w:r>
    </w:p>
    <w:p w14:paraId="6419414C">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参选文件关键内容字迹不清晰或存在歧义；</w:t>
      </w:r>
    </w:p>
    <w:p w14:paraId="245370F9">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sz w:val="30"/>
          <w:szCs w:val="30"/>
        </w:rPr>
        <w:t>参选报价远低于市场成本或者高于比选文件设定的最高限价，以及存在其他违反国家法律法规、政策规定情形的；</w:t>
      </w:r>
    </w:p>
    <w:p w14:paraId="6DF39710">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7.</w:t>
      </w:r>
      <w:r>
        <w:rPr>
          <w:rFonts w:ascii="Times New Roman" w:hAnsi="Times New Roman" w:eastAsia="方正仿宋_GBK" w:cs="Times New Roman"/>
          <w:sz w:val="30"/>
          <w:szCs w:val="30"/>
        </w:rPr>
        <w:t>参选文件没有对比选文件的实质性要求和条件做出响应；</w:t>
      </w:r>
    </w:p>
    <w:p w14:paraId="7FA8867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8.</w:t>
      </w:r>
      <w:r>
        <w:rPr>
          <w:rFonts w:ascii="Times New Roman" w:hAnsi="Times New Roman" w:eastAsia="方正仿宋_GBK" w:cs="Times New Roman"/>
          <w:sz w:val="30"/>
          <w:szCs w:val="30"/>
        </w:rPr>
        <w:t>参选人有串通参选、弄虚作假、行贿等违法违规行为。</w:t>
      </w:r>
    </w:p>
    <w:p w14:paraId="1A0A2E35">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三、评议</w:t>
      </w:r>
    </w:p>
    <w:p w14:paraId="4C502D9D">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（一）参选人授权一位代表参加比选评议会，授权代表应携带本人有效身份证明备查。授权代表应与参选授权委托材料所列被授权人一致，如有变更，应补充变更授权的相应授权材料。</w:t>
      </w:r>
    </w:p>
    <w:p w14:paraId="07B06D95">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（二）比选评议前，工作人员请参选人授权代表检查本单位参选文件的密封情况，经确认无误后当众拆封，并公开宣读参选律师事务所名称、参选报价。</w:t>
      </w:r>
    </w:p>
    <w:p w14:paraId="16A49BE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（三）采购人组建的比选评议小组对参选文件的评判，只依据参选文件本身，不依靠评议后的任何外来证明。</w:t>
      </w:r>
    </w:p>
    <w:p w14:paraId="35B2ADB3">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四、公示</w:t>
      </w:r>
    </w:p>
    <w:p w14:paraId="0B364D2E">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采购人组建的比选评议小组负责评议工作，依据"评审规则"比选评议小组推荐得分前</w:t>
      </w:r>
      <w:r>
        <w:rPr>
          <w:rFonts w:hint="eastAsia" w:ascii="Times New Roman" w:hAnsi="Times New Roman" w:eastAsia="方正仿宋_GBK" w:cs="Times New Roman"/>
          <w:sz w:val="30"/>
          <w:szCs w:val="30"/>
        </w:rPr>
        <w:t>八</w:t>
      </w:r>
      <w:r>
        <w:rPr>
          <w:rFonts w:ascii="Times New Roman" w:hAnsi="Times New Roman" w:eastAsia="方正仿宋_GBK" w:cs="Times New Roman"/>
          <w:sz w:val="30"/>
          <w:szCs w:val="30"/>
        </w:rPr>
        <w:t>名</w:t>
      </w:r>
      <w:r>
        <w:rPr>
          <w:rFonts w:hint="eastAsia" w:ascii="Times New Roman" w:hAnsi="Times New Roman" w:eastAsia="方正仿宋_GBK" w:cs="Times New Roman"/>
          <w:sz w:val="30"/>
          <w:szCs w:val="30"/>
        </w:rPr>
        <w:t>参选人进行公示，</w:t>
      </w:r>
      <w:r>
        <w:rPr>
          <w:rFonts w:ascii="Times New Roman" w:hAnsi="Times New Roman" w:eastAsia="方正仿宋_GBK" w:cs="Times New Roman"/>
          <w:sz w:val="30"/>
          <w:szCs w:val="30"/>
        </w:rPr>
        <w:t>相关信息在"阳光重庆"（</w:t>
      </w:r>
      <w:r>
        <w:rPr>
          <w:rFonts w:hint="eastAsia" w:ascii="Times New Roman" w:hAnsi="Times New Roman" w:eastAsia="方正仿宋_GBK" w:cs="Times New Roman"/>
          <w:sz w:val="30"/>
          <w:szCs w:val="30"/>
        </w:rPr>
        <w:t>网址</w:t>
      </w:r>
      <w:r>
        <w:fldChar w:fldCharType="begin"/>
      </w:r>
      <w:r>
        <w:instrText xml:space="preserve"> HYPERLINK "https://www.ygcq.com.cn/" \t "https://chat.deepseek.com/a/chat/s/_blank" </w:instrText>
      </w:r>
      <w:r>
        <w:fldChar w:fldCharType="separate"/>
      </w:r>
      <w:r>
        <w:rPr>
          <w:rFonts w:ascii="Times New Roman" w:hAnsi="Times New Roman" w:eastAsia="方正仿宋_GBK" w:cs="Times New Roman"/>
          <w:sz w:val="30"/>
          <w:szCs w:val="30"/>
        </w:rPr>
        <w:t>https://www.ygcq.com.cn/</w:t>
      </w:r>
      <w:r>
        <w:rPr>
          <w:rFonts w:ascii="Times New Roman" w:hAnsi="Times New Roman" w:eastAsia="方正仿宋_GBK" w:cs="Times New Roman"/>
          <w:sz w:val="30"/>
          <w:szCs w:val="30"/>
        </w:rPr>
        <w:fldChar w:fldCharType="end"/>
      </w:r>
      <w:r>
        <w:rPr>
          <w:rFonts w:ascii="Times New Roman" w:hAnsi="Times New Roman" w:eastAsia="方正仿宋_GBK" w:cs="Times New Roman"/>
          <w:sz w:val="30"/>
          <w:szCs w:val="30"/>
        </w:rPr>
        <w:t>）和第1眼TV APP上进行公示</w:t>
      </w:r>
      <w:r>
        <w:rPr>
          <w:rFonts w:hint="eastAsia" w:ascii="Times New Roman" w:hAnsi="Times New Roman" w:eastAsia="方正仿宋_GBK" w:cs="Times New Roman"/>
          <w:sz w:val="30"/>
          <w:szCs w:val="30"/>
        </w:rPr>
        <w:t>，公示期</w:t>
      </w:r>
      <w:r>
        <w:rPr>
          <w:rFonts w:ascii="Times New Roman" w:hAnsi="Times New Roman" w:eastAsia="方正仿宋_GBK" w:cs="Times New Roman"/>
          <w:sz w:val="30"/>
          <w:szCs w:val="30"/>
        </w:rPr>
        <w:t>3天。</w:t>
      </w:r>
    </w:p>
    <w:p w14:paraId="5A36F1AA">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五、通知</w:t>
      </w:r>
    </w:p>
    <w:p w14:paraId="2C3076D4">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（一）采购人根据比选评议小组的推荐及在公示无异议的基础上，依据公平、公正原则，确定中选候选人前五位为中选人，并以中选通知书的形式通知中选人。</w:t>
      </w:r>
    </w:p>
    <w:p w14:paraId="38D6621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（二）中选人确定后，采购人没有义务对未中选人就评议过程以及未能中选原因做出任何解释。未中选人没有权利向评议小组成员或其他有关人员索问评议过程的情况。</w:t>
      </w:r>
    </w:p>
    <w:p w14:paraId="62758740">
      <w:pPr>
        <w:spacing w:line="520" w:lineRule="exact"/>
        <w:ind w:firstLine="600" w:firstLineChars="200"/>
        <w:rPr>
          <w:rFonts w:eastAsia="方正仿宋_GBK"/>
        </w:rPr>
      </w:pPr>
      <w:r>
        <w:rPr>
          <w:rFonts w:hint="eastAsia" w:ascii="Times New Roman" w:hAnsi="Times New Roman" w:eastAsia="方正仿宋_GBK" w:cs="Times New Roman"/>
          <w:sz w:val="30"/>
          <w:szCs w:val="30"/>
        </w:rPr>
        <w:t>（三）通知以电子邮件的方式发送，请各参选人注明接收通知的电子邮件准确信息，电子邮件一经发送视为已通知送达。</w:t>
      </w:r>
    </w:p>
    <w:p w14:paraId="7DB32AF3">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六、合同洽谈与签订</w:t>
      </w:r>
    </w:p>
    <w:p w14:paraId="5378E3A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（一）采购人发出中选书面通知之日起30日内，将按照比选文件及参选文件首先与前五名中选候选人洽谈合约，如不能签订合约则依序</w:t>
      </w:r>
      <w:r>
        <w:rPr>
          <w:rFonts w:hint="eastAsia" w:ascii="Times New Roman" w:hAnsi="Times New Roman" w:eastAsia="方正仿宋_GBK" w:cs="Times New Roman"/>
          <w:sz w:val="30"/>
          <w:szCs w:val="30"/>
        </w:rPr>
        <w:t>与排名第六至第八位的参选人</w:t>
      </w:r>
      <w:r>
        <w:rPr>
          <w:rFonts w:ascii="Times New Roman" w:hAnsi="Times New Roman" w:eastAsia="方正仿宋_GBK" w:cs="Times New Roman"/>
          <w:sz w:val="30"/>
          <w:szCs w:val="30"/>
        </w:rPr>
        <w:t>继续洽谈合约。如仍无法达成合约，则申请重新开展比选。</w:t>
      </w:r>
    </w:p>
    <w:p w14:paraId="4A7C152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（二）当确定的中选人拒绝洽谈和签订合同，或非因不可抗力原因而提出不能履行合同，可以视为中选人主动放弃中选项目，取消该中选人</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年内与重庆广播电视集团（总台）及下属企业单位合作资格。</w:t>
      </w:r>
    </w:p>
    <w:p w14:paraId="64E04D84">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七、其他</w:t>
      </w:r>
    </w:p>
    <w:p w14:paraId="6E64957C">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（一）参选人如有弄虚作假</w:t>
      </w:r>
      <w:r>
        <w:rPr>
          <w:rFonts w:hint="eastAsia" w:ascii="Times New Roman" w:hAnsi="Times New Roman" w:eastAsia="方正仿宋_GBK" w:cs="Times New Roman"/>
          <w:sz w:val="30"/>
          <w:szCs w:val="30"/>
        </w:rPr>
        <w:t>行为</w:t>
      </w:r>
      <w:r>
        <w:rPr>
          <w:rFonts w:ascii="Times New Roman" w:hAnsi="Times New Roman" w:eastAsia="方正仿宋_GBK" w:cs="Times New Roman"/>
          <w:sz w:val="30"/>
          <w:szCs w:val="30"/>
        </w:rPr>
        <w:t>骗取中选，或者</w:t>
      </w:r>
      <w:r>
        <w:rPr>
          <w:rFonts w:hint="eastAsia" w:ascii="Times New Roman" w:hAnsi="Times New Roman" w:eastAsia="方正仿宋_GBK" w:cs="Times New Roman"/>
          <w:sz w:val="30"/>
          <w:szCs w:val="30"/>
        </w:rPr>
        <w:t>隐瞒其</w:t>
      </w:r>
      <w:r>
        <w:rPr>
          <w:rFonts w:ascii="Times New Roman" w:hAnsi="Times New Roman" w:eastAsia="方正仿宋_GBK" w:cs="Times New Roman"/>
          <w:sz w:val="30"/>
          <w:szCs w:val="30"/>
        </w:rPr>
        <w:t>参加本次采购项目的前三年内，在经营活动中有重大违法记录</w:t>
      </w:r>
      <w:r>
        <w:rPr>
          <w:rFonts w:hint="eastAsia" w:ascii="Times New Roman" w:hAnsi="Times New Roman" w:eastAsia="方正仿宋_GBK" w:cs="Times New Roman"/>
          <w:sz w:val="30"/>
          <w:szCs w:val="30"/>
        </w:rPr>
        <w:t>或行业惩戒记录</w:t>
      </w:r>
      <w:r>
        <w:rPr>
          <w:rFonts w:ascii="Times New Roman" w:hAnsi="Times New Roman" w:eastAsia="方正仿宋_GBK" w:cs="Times New Roman"/>
          <w:sz w:val="30"/>
          <w:szCs w:val="30"/>
        </w:rPr>
        <w:t>的，</w:t>
      </w:r>
      <w:r>
        <w:rPr>
          <w:rFonts w:hint="eastAsia" w:ascii="Times New Roman" w:hAnsi="Times New Roman" w:eastAsia="方正仿宋_GBK" w:cs="Times New Roman"/>
          <w:sz w:val="30"/>
          <w:szCs w:val="30"/>
        </w:rPr>
        <w:t>一经发现将</w:t>
      </w:r>
      <w:r>
        <w:rPr>
          <w:rFonts w:ascii="Times New Roman" w:hAnsi="Times New Roman" w:eastAsia="方正仿宋_GBK" w:cs="Times New Roman"/>
          <w:sz w:val="30"/>
          <w:szCs w:val="30"/>
        </w:rPr>
        <w:t>取消其中选资格。</w:t>
      </w:r>
    </w:p>
    <w:p w14:paraId="37C0D13D">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各参选人应本着长期合作、专业服务的精神，以优惠的价格参选，并严格保证业务质量。一旦发现中选单位及指派的顾问团队的情况和专业水平与参选材料所述不符，或中选单位及指派的顾问团队的实际从业能力无法达到采购人的要求，或因中选单位及指派的顾问团队的过错给采购人带来损失的，或不能按照本次比选文件要求提供服务的，采购人保留中途解聘并要求赔偿的权利，且采购人将不承担任何费用。</w:t>
      </w:r>
    </w:p>
    <w:p w14:paraId="2D0E2A1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（三）参选人未按照本次比选文件规定</w:t>
      </w:r>
      <w:r>
        <w:rPr>
          <w:rFonts w:hint="eastAsia" w:ascii="Times New Roman" w:hAnsi="Times New Roman" w:eastAsia="方正仿宋_GBK" w:cs="Times New Roman"/>
          <w:sz w:val="30"/>
          <w:szCs w:val="30"/>
        </w:rPr>
        <w:t>提供的</w:t>
      </w:r>
      <w:r>
        <w:rPr>
          <w:rFonts w:ascii="Times New Roman" w:hAnsi="Times New Roman" w:eastAsia="方正仿宋_GBK" w:cs="Times New Roman"/>
          <w:sz w:val="30"/>
          <w:szCs w:val="30"/>
        </w:rPr>
        <w:t>参选文件无效。无论中选与否，各参选人参选文件及相关资料恕不退回，由采购人存档备查，采购人将对参选人资料予以保密。</w:t>
      </w:r>
    </w:p>
    <w:p w14:paraId="024B7711">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第三章 评议规则</w:t>
      </w:r>
    </w:p>
    <w:p w14:paraId="4A038CB1">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一、评审流程</w:t>
      </w:r>
    </w:p>
    <w:p w14:paraId="5243338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（一）本次采购项目比选评议小组由三人组成，评议小组对参选文件进行审查、质疑、评估和比较。评议期间，参选人授权代表应按评议小组的要求负责解答有关事宜。</w:t>
      </w:r>
    </w:p>
    <w:p w14:paraId="6D9FB39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（二）参选人对评议有异议的，应当在评议现场提出，工作人员应当场作好记录，并视情况给予解答。</w:t>
      </w:r>
    </w:p>
    <w:p w14:paraId="0307EE6F">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为有助于对参选文件的审查、评价和比较，评议小组可分别要求参选人对其参选文件进行澄清，有关澄清的要求和答复应以书面形式提交，并经授权代表签字。参选人对参选文件的澄清不得改变投标价格及实质性内容。</w:t>
      </w:r>
    </w:p>
    <w:p w14:paraId="18D9F2CB">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二、评议办法及分值安排</w:t>
      </w:r>
    </w:p>
    <w:p w14:paraId="7862D46F">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（一）评议办法为"综合评估法"：即对参选单位递交的参选文件进行评审，并按综合评估方式进行打分。</w:t>
      </w:r>
    </w:p>
    <w:p w14:paraId="5F1D73C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（二）总分为100分，其中商务部分为10分，经济部分为40分，服务部分为50分。</w:t>
      </w:r>
    </w:p>
    <w:p w14:paraId="3FD4333D">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（三）评分细则</w:t>
      </w:r>
      <w:r>
        <w:rPr>
          <w:rFonts w:hint="eastAsia" w:ascii="Times New Roman" w:hAnsi="Times New Roman" w:eastAsia="方正仿宋_GBK" w:cs="Times New Roman"/>
          <w:sz w:val="30"/>
          <w:szCs w:val="30"/>
        </w:rPr>
        <w:t>及编制要求，</w:t>
      </w:r>
      <w:r>
        <w:rPr>
          <w:rFonts w:ascii="Times New Roman" w:hAnsi="Times New Roman" w:eastAsia="方正仿宋_GBK" w:cs="Times New Roman"/>
          <w:sz w:val="30"/>
          <w:szCs w:val="30"/>
        </w:rPr>
        <w:t>详见下表</w:t>
      </w:r>
      <w:r>
        <w:rPr>
          <w:rFonts w:hint="eastAsia" w:ascii="Times New Roman" w:hAnsi="Times New Roman" w:eastAsia="方正仿宋_GBK" w:cs="Times New Roman"/>
          <w:sz w:val="30"/>
          <w:szCs w:val="30"/>
        </w:rPr>
        <w:t>：</w:t>
      </w:r>
    </w:p>
    <w:p w14:paraId="0AC0EB72">
      <w:pPr>
        <w:pStyle w:val="2"/>
        <w:ind w:firstLine="600"/>
        <w:rPr>
          <w:rFonts w:ascii="Times New Roman" w:hAnsi="Times New Roman" w:eastAsia="方正仿宋_GBK" w:cs="Times New Roman"/>
          <w:sz w:val="30"/>
          <w:szCs w:val="30"/>
        </w:rPr>
      </w:pPr>
    </w:p>
    <w:p w14:paraId="6030765D"/>
    <w:p w14:paraId="75F2E8BE">
      <w:pPr>
        <w:pStyle w:val="2"/>
      </w:pPr>
    </w:p>
    <w:p w14:paraId="6D0FB7CA">
      <w:pPr>
        <w:sectPr>
          <w:footerReference r:id="rId3" w:type="default"/>
          <w:pgSz w:w="11906" w:h="16838"/>
          <w:pgMar w:top="1440" w:right="1800" w:bottom="1440" w:left="1800" w:header="851" w:footer="992" w:gutter="0"/>
          <w:cols w:space="425" w:num="1"/>
          <w:docGrid w:type="lines" w:linePitch="312" w:charSpace="0"/>
        </w:sectPr>
      </w:pPr>
    </w:p>
    <w:tbl>
      <w:tblPr>
        <w:tblStyle w:val="7"/>
        <w:tblW w:w="15500"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12"/>
        <w:gridCol w:w="1391"/>
        <w:gridCol w:w="7572"/>
        <w:gridCol w:w="5225"/>
      </w:tblGrid>
      <w:tr w14:paraId="7D94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12" w:type="dxa"/>
            <w:tcBorders>
              <w:tl2br w:val="nil"/>
              <w:tr2bl w:val="nil"/>
            </w:tcBorders>
            <w:shd w:val="clear" w:color="auto" w:fill="auto"/>
            <w:tcMar>
              <w:top w:w="150" w:type="dxa"/>
              <w:left w:w="0" w:type="dxa"/>
              <w:bottom w:w="150" w:type="dxa"/>
              <w:right w:w="240" w:type="dxa"/>
            </w:tcMar>
            <w:vAlign w:val="center"/>
          </w:tcPr>
          <w:p w14:paraId="7EEBA4E0">
            <w:pPr>
              <w:spacing w:line="280" w:lineRule="exact"/>
              <w:jc w:val="center"/>
              <w:rPr>
                <w:rFonts w:ascii="方正黑体简体" w:hAnsi="方正黑体简体" w:eastAsia="方正黑体简体" w:cs="方正黑体简体"/>
              </w:rPr>
            </w:pPr>
            <w:r>
              <w:rPr>
                <w:rFonts w:hint="eastAsia" w:ascii="方正黑体简体" w:hAnsi="方正黑体简体" w:eastAsia="方正黑体简体" w:cs="方正黑体简体"/>
              </w:rPr>
              <w:t xml:space="preserve"> 类别分值</w:t>
            </w:r>
          </w:p>
        </w:tc>
        <w:tc>
          <w:tcPr>
            <w:tcW w:w="1391" w:type="dxa"/>
            <w:tcBorders>
              <w:tl2br w:val="nil"/>
              <w:tr2bl w:val="nil"/>
            </w:tcBorders>
            <w:shd w:val="clear" w:color="auto" w:fill="auto"/>
            <w:tcMar>
              <w:top w:w="150" w:type="dxa"/>
              <w:left w:w="240" w:type="dxa"/>
              <w:bottom w:w="150" w:type="dxa"/>
              <w:right w:w="240" w:type="dxa"/>
            </w:tcMar>
            <w:vAlign w:val="center"/>
          </w:tcPr>
          <w:p w14:paraId="4BB97AE2">
            <w:pPr>
              <w:spacing w:line="280" w:lineRule="exact"/>
              <w:jc w:val="center"/>
              <w:rPr>
                <w:rFonts w:ascii="方正黑体简体" w:hAnsi="方正黑体简体" w:eastAsia="方正黑体简体" w:cs="方正黑体简体"/>
              </w:rPr>
            </w:pPr>
            <w:r>
              <w:rPr>
                <w:rFonts w:hint="eastAsia" w:ascii="方正黑体简体" w:hAnsi="方正黑体简体" w:eastAsia="方正黑体简体" w:cs="方正黑体简体"/>
              </w:rPr>
              <w:t>评分项</w:t>
            </w:r>
          </w:p>
        </w:tc>
        <w:tc>
          <w:tcPr>
            <w:tcW w:w="7572" w:type="dxa"/>
            <w:tcBorders>
              <w:tl2br w:val="nil"/>
              <w:tr2bl w:val="nil"/>
            </w:tcBorders>
            <w:shd w:val="clear" w:color="auto" w:fill="auto"/>
            <w:tcMar>
              <w:top w:w="150" w:type="dxa"/>
              <w:left w:w="240" w:type="dxa"/>
              <w:bottom w:w="150" w:type="dxa"/>
              <w:right w:w="240" w:type="dxa"/>
            </w:tcMar>
            <w:vAlign w:val="center"/>
          </w:tcPr>
          <w:p w14:paraId="68932D62">
            <w:pPr>
              <w:spacing w:line="280" w:lineRule="exact"/>
              <w:jc w:val="center"/>
              <w:rPr>
                <w:rFonts w:ascii="方正黑体简体" w:hAnsi="方正黑体简体" w:eastAsia="方正黑体简体" w:cs="方正黑体简体"/>
              </w:rPr>
            </w:pPr>
            <w:r>
              <w:rPr>
                <w:rFonts w:hint="eastAsia" w:ascii="方正黑体简体" w:hAnsi="方正黑体简体" w:eastAsia="方正黑体简体" w:cs="方正黑体简体"/>
              </w:rPr>
              <w:t>具体描述与评分标准</w:t>
            </w:r>
          </w:p>
        </w:tc>
        <w:tc>
          <w:tcPr>
            <w:tcW w:w="5225" w:type="dxa"/>
            <w:tcBorders>
              <w:tl2br w:val="nil"/>
              <w:tr2bl w:val="nil"/>
            </w:tcBorders>
            <w:shd w:val="clear" w:color="auto" w:fill="auto"/>
            <w:tcMar>
              <w:top w:w="150" w:type="dxa"/>
              <w:left w:w="240" w:type="dxa"/>
              <w:bottom w:w="150" w:type="dxa"/>
              <w:right w:w="240" w:type="dxa"/>
            </w:tcMar>
            <w:vAlign w:val="center"/>
          </w:tcPr>
          <w:p w14:paraId="5C74FD17">
            <w:pPr>
              <w:jc w:val="center"/>
            </w:pPr>
            <w:r>
              <w:rPr>
                <w:rFonts w:hint="eastAsia" w:ascii="方正黑体简体" w:hAnsi="方正黑体简体" w:eastAsia="方正黑体简体" w:cs="方正黑体简体"/>
              </w:rPr>
              <w:t>需提供的核心证明材料与编制要求</w:t>
            </w:r>
          </w:p>
        </w:tc>
      </w:tr>
      <w:tr w14:paraId="6410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12" w:type="dxa"/>
            <w:vMerge w:val="restart"/>
            <w:tcBorders>
              <w:tl2br w:val="nil"/>
              <w:tr2bl w:val="nil"/>
            </w:tcBorders>
            <w:shd w:val="clear" w:color="auto" w:fill="auto"/>
            <w:tcMar>
              <w:top w:w="150" w:type="dxa"/>
              <w:left w:w="0" w:type="dxa"/>
              <w:bottom w:w="150" w:type="dxa"/>
              <w:right w:w="240" w:type="dxa"/>
            </w:tcMar>
            <w:vAlign w:val="center"/>
          </w:tcPr>
          <w:p w14:paraId="714C17C3">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w:t>
            </w:r>
            <w:r>
              <w:rPr>
                <w:rFonts w:ascii="Times New Roman" w:hAnsi="Times New Roman" w:eastAsia="方正黑体简体" w:cs="Times New Roman"/>
              </w:rPr>
              <w:t>商务部分</w:t>
            </w:r>
          </w:p>
          <w:p w14:paraId="64E56F62">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w:t>
            </w:r>
            <w:r>
              <w:rPr>
                <w:rFonts w:ascii="Times New Roman" w:hAnsi="Times New Roman" w:eastAsia="方正黑体简体" w:cs="Times New Roman"/>
              </w:rPr>
              <w:t>1</w:t>
            </w:r>
            <w:r>
              <w:rPr>
                <w:rFonts w:hint="eastAsia" w:ascii="Times New Roman" w:hAnsi="Times New Roman" w:eastAsia="方正黑体简体" w:cs="Times New Roman"/>
              </w:rPr>
              <w:t>0</w:t>
            </w:r>
            <w:r>
              <w:rPr>
                <w:rFonts w:ascii="Times New Roman" w:hAnsi="Times New Roman" w:eastAsia="方正黑体简体" w:cs="Times New Roman"/>
              </w:rPr>
              <w:t>分</w:t>
            </w:r>
            <w:r>
              <w:rPr>
                <w:rFonts w:ascii="Times New Roman" w:hAnsi="Times New Roman" w:eastAsia="方正黑体简体" w:cs="Times New Roman"/>
              </w:rPr>
              <w:br w:type="textWrapping"/>
            </w:r>
          </w:p>
        </w:tc>
        <w:tc>
          <w:tcPr>
            <w:tcW w:w="1391" w:type="dxa"/>
            <w:tcBorders>
              <w:tl2br w:val="nil"/>
              <w:tr2bl w:val="nil"/>
            </w:tcBorders>
            <w:shd w:val="clear" w:color="auto" w:fill="auto"/>
            <w:tcMar>
              <w:top w:w="150" w:type="dxa"/>
              <w:left w:w="240" w:type="dxa"/>
              <w:bottom w:w="150" w:type="dxa"/>
              <w:right w:w="240" w:type="dxa"/>
            </w:tcMar>
            <w:vAlign w:val="center"/>
          </w:tcPr>
          <w:p w14:paraId="473D0F15">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行业服务经验（</w:t>
            </w:r>
            <w:r>
              <w:rPr>
                <w:rFonts w:hint="eastAsia" w:ascii="Times New Roman" w:hAnsi="Times New Roman" w:eastAsia="方正黑体简体" w:cs="Times New Roman"/>
              </w:rPr>
              <w:t>5</w:t>
            </w:r>
            <w:r>
              <w:rPr>
                <w:rFonts w:ascii="Times New Roman" w:hAnsi="Times New Roman" w:eastAsia="方正黑体简体" w:cs="Times New Roman"/>
              </w:rPr>
              <w:t>分）</w:t>
            </w:r>
          </w:p>
        </w:tc>
        <w:tc>
          <w:tcPr>
            <w:tcW w:w="7572" w:type="dxa"/>
            <w:tcBorders>
              <w:tl2br w:val="nil"/>
              <w:tr2bl w:val="nil"/>
            </w:tcBorders>
            <w:shd w:val="clear" w:color="auto" w:fill="auto"/>
            <w:tcMar>
              <w:top w:w="150" w:type="dxa"/>
              <w:left w:w="240" w:type="dxa"/>
              <w:bottom w:w="150" w:type="dxa"/>
              <w:right w:w="240" w:type="dxa"/>
            </w:tcMar>
            <w:vAlign w:val="center"/>
          </w:tcPr>
          <w:p w14:paraId="120476BF">
            <w:pPr>
              <w:spacing w:line="280" w:lineRule="exact"/>
              <w:rPr>
                <w:rFonts w:ascii="Times New Roman" w:hAnsi="Times New Roman" w:eastAsia="方正仿宋_GBK" w:cs="Times New Roman"/>
                <w:b/>
                <w:bCs/>
              </w:rPr>
            </w:pPr>
            <w:r>
              <w:rPr>
                <w:rFonts w:ascii="Times New Roman" w:hAnsi="Times New Roman" w:eastAsia="方正仿宋_GBK" w:cs="Times New Roman"/>
                <w:b/>
                <w:bCs/>
              </w:rPr>
              <w:t>• 是否真正理解并服务过类似客户</w:t>
            </w:r>
            <w:r>
              <w:rPr>
                <w:rFonts w:hint="eastAsia" w:ascii="Times New Roman" w:hAnsi="Times New Roman" w:eastAsia="方正仿宋_GBK" w:cs="Times New Roman"/>
                <w:b/>
                <w:bCs/>
              </w:rPr>
              <w:t>（5分）：</w:t>
            </w:r>
          </w:p>
          <w:p w14:paraId="2E862B0B">
            <w:pPr>
              <w:spacing w:line="280" w:lineRule="exact"/>
              <w:rPr>
                <w:rFonts w:hint="eastAsia" w:ascii="Times New Roman" w:hAnsi="Times New Roman" w:eastAsia="方正仿宋_GBK" w:cs="Times New Roman"/>
              </w:rPr>
            </w:pPr>
            <w:r>
              <w:rPr>
                <w:rFonts w:ascii="Times New Roman" w:hAnsi="Times New Roman" w:eastAsia="方正仿宋_GBK" w:cs="Times New Roman"/>
              </w:rPr>
              <w:t>须</w:t>
            </w:r>
            <w:r>
              <w:rPr>
                <w:rFonts w:hint="eastAsia" w:ascii="Times New Roman" w:hAnsi="Times New Roman" w:eastAsia="方正仿宋_GBK" w:cs="Times New Roman"/>
              </w:rPr>
              <w:t>提供</w:t>
            </w:r>
            <w:r>
              <w:rPr>
                <w:rFonts w:ascii="Times New Roman" w:hAnsi="Times New Roman" w:eastAsia="方正仿宋_GBK" w:cs="Times New Roman"/>
              </w:rPr>
              <w:t>近3年内与大型企事业单位</w:t>
            </w:r>
            <w:r>
              <w:rPr>
                <w:rFonts w:hint="eastAsia" w:ascii="Times New Roman" w:hAnsi="Times New Roman" w:eastAsia="方正仿宋_GBK" w:cs="Times New Roman"/>
              </w:rPr>
              <w:t>签订</w:t>
            </w:r>
            <w:r>
              <w:rPr>
                <w:rFonts w:ascii="Times New Roman" w:hAnsi="Times New Roman" w:eastAsia="方正仿宋_GBK" w:cs="Times New Roman"/>
              </w:rPr>
              <w:t>《常年法律顾问合同》</w:t>
            </w:r>
            <w:r>
              <w:rPr>
                <w:rFonts w:hint="eastAsia" w:ascii="Times New Roman" w:hAnsi="Times New Roman" w:eastAsia="方正仿宋_GBK" w:cs="Times New Roman"/>
              </w:rPr>
              <w:t>及客户</w:t>
            </w:r>
            <w:r>
              <w:rPr>
                <w:rFonts w:ascii="Times New Roman" w:hAnsi="Times New Roman" w:eastAsia="方正仿宋_GBK" w:cs="Times New Roman"/>
              </w:rPr>
              <w:t>服务评价</w:t>
            </w:r>
            <w:r>
              <w:rPr>
                <w:rFonts w:hint="eastAsia" w:ascii="Times New Roman" w:hAnsi="Times New Roman" w:eastAsia="方正仿宋_GBK" w:cs="Times New Roman"/>
              </w:rPr>
              <w:t>的</w:t>
            </w:r>
            <w:r>
              <w:rPr>
                <w:rFonts w:ascii="Times New Roman" w:hAnsi="Times New Roman" w:eastAsia="方正仿宋_GBK" w:cs="Times New Roman"/>
              </w:rPr>
              <w:t>证明材料。 每提供1份，得</w:t>
            </w:r>
            <w:r>
              <w:rPr>
                <w:rFonts w:hint="eastAsia" w:ascii="Times New Roman" w:hAnsi="Times New Roman" w:eastAsia="方正仿宋_GBK" w:cs="Times New Roman"/>
              </w:rPr>
              <w:t>1</w:t>
            </w:r>
            <w:r>
              <w:rPr>
                <w:rFonts w:ascii="Times New Roman" w:hAnsi="Times New Roman" w:eastAsia="方正仿宋_GBK" w:cs="Times New Roman"/>
              </w:rPr>
              <w:t>分。</w:t>
            </w:r>
            <w:r>
              <w:rPr>
                <w:rFonts w:hint="eastAsia" w:ascii="Times New Roman" w:hAnsi="Times New Roman" w:eastAsia="方正仿宋_GBK" w:cs="Times New Roman"/>
              </w:rPr>
              <w:t>最多提供2份。</w:t>
            </w:r>
          </w:p>
          <w:p w14:paraId="6CD25505">
            <w:pPr>
              <w:spacing w:line="280" w:lineRule="exact"/>
              <w:rPr>
                <w:rFonts w:hint="eastAsia" w:ascii="Times New Roman" w:hAnsi="Times New Roman" w:eastAsia="方正仿宋_GBK" w:cs="Times New Roman"/>
              </w:rPr>
            </w:pPr>
            <w:r>
              <w:rPr>
                <w:rFonts w:hint="eastAsia" w:ascii="Times New Roman" w:hAnsi="Times New Roman" w:eastAsia="方正仿宋_GBK" w:cs="Times New Roman"/>
              </w:rPr>
              <w:t>须提供近3年内与大型国有文化企事业单</w:t>
            </w:r>
            <w:r>
              <w:rPr>
                <w:rFonts w:ascii="Times New Roman" w:hAnsi="Times New Roman" w:eastAsia="方正仿宋_GBK" w:cs="Times New Roman"/>
              </w:rPr>
              <w:t>位签订《常年法律顾问合同》及</w:t>
            </w:r>
            <w:r>
              <w:rPr>
                <w:rFonts w:hint="eastAsia" w:ascii="Times New Roman" w:hAnsi="Times New Roman" w:eastAsia="方正仿宋_GBK" w:cs="Times New Roman"/>
              </w:rPr>
              <w:t>客户</w:t>
            </w:r>
            <w:r>
              <w:rPr>
                <w:rFonts w:ascii="Times New Roman" w:hAnsi="Times New Roman" w:eastAsia="方正仿宋_GBK" w:cs="Times New Roman"/>
              </w:rPr>
              <w:t>服务评价</w:t>
            </w:r>
            <w:r>
              <w:rPr>
                <w:rFonts w:hint="eastAsia" w:ascii="Times New Roman" w:hAnsi="Times New Roman" w:eastAsia="方正仿宋_GBK" w:cs="Times New Roman"/>
              </w:rPr>
              <w:t>的</w:t>
            </w:r>
            <w:r>
              <w:rPr>
                <w:rFonts w:ascii="Times New Roman" w:hAnsi="Times New Roman" w:eastAsia="方正仿宋_GBK" w:cs="Times New Roman"/>
              </w:rPr>
              <w:t>证明材料。 每提供1份，得</w:t>
            </w:r>
            <w:r>
              <w:rPr>
                <w:rFonts w:hint="eastAsia" w:ascii="Times New Roman" w:hAnsi="Times New Roman" w:eastAsia="方正仿宋_GBK" w:cs="Times New Roman"/>
              </w:rPr>
              <w:t>1</w:t>
            </w:r>
            <w:r>
              <w:rPr>
                <w:rFonts w:ascii="Times New Roman" w:hAnsi="Times New Roman" w:eastAsia="方正仿宋_GBK" w:cs="Times New Roman"/>
              </w:rPr>
              <w:t>.5分。</w:t>
            </w:r>
            <w:r>
              <w:rPr>
                <w:rFonts w:hint="eastAsia" w:ascii="Times New Roman" w:hAnsi="Times New Roman" w:eastAsia="方正仿宋_GBK" w:cs="Times New Roman"/>
              </w:rPr>
              <w:t>最多提供2份。</w:t>
            </w:r>
          </w:p>
          <w:p w14:paraId="6F7633C9">
            <w:pPr>
              <w:spacing w:line="280" w:lineRule="exact"/>
            </w:pPr>
            <w:r>
              <w:rPr>
                <w:rFonts w:hint="eastAsia" w:ascii="Times New Roman" w:hAnsi="Times New Roman" w:eastAsia="方正仿宋_GBK" w:cs="Times New Roman"/>
              </w:rPr>
              <w:t>本项累计总分不超过5分。</w:t>
            </w:r>
          </w:p>
        </w:tc>
        <w:tc>
          <w:tcPr>
            <w:tcW w:w="5225" w:type="dxa"/>
            <w:tcBorders>
              <w:tl2br w:val="nil"/>
              <w:tr2bl w:val="nil"/>
            </w:tcBorders>
            <w:shd w:val="clear" w:color="auto" w:fill="auto"/>
            <w:tcMar>
              <w:top w:w="150" w:type="dxa"/>
              <w:left w:w="240" w:type="dxa"/>
              <w:bottom w:w="150" w:type="dxa"/>
              <w:right w:w="240" w:type="dxa"/>
            </w:tcMar>
            <w:vAlign w:val="center"/>
          </w:tcPr>
          <w:p w14:paraId="6C304102">
            <w:pPr>
              <w:spacing w:line="280" w:lineRule="exact"/>
              <w:rPr>
                <w:rFonts w:ascii="Times New Roman" w:hAnsi="Times New Roman" w:eastAsia="方正仿宋_GBK" w:cs="Times New Roman"/>
              </w:rPr>
            </w:pPr>
            <w:r>
              <w:rPr>
                <w:rFonts w:ascii="Times New Roman" w:hAnsi="Times New Roman" w:eastAsia="方正仿宋_GBK" w:cs="Times New Roman"/>
              </w:rPr>
              <w:t>提供的《常年法律顾问合同》</w:t>
            </w:r>
            <w:r>
              <w:rPr>
                <w:rFonts w:hint="eastAsia" w:ascii="Times New Roman" w:hAnsi="Times New Roman" w:eastAsia="方正仿宋_GBK" w:cs="Times New Roman"/>
              </w:rPr>
              <w:t>应包括</w:t>
            </w:r>
            <w:r>
              <w:rPr>
                <w:rFonts w:ascii="Times New Roman" w:hAnsi="Times New Roman" w:eastAsia="方正仿宋_GBK" w:cs="Times New Roman"/>
              </w:rPr>
              <w:t>含签约方、服务内容、签章</w:t>
            </w:r>
            <w:r>
              <w:rPr>
                <w:rFonts w:hint="eastAsia" w:ascii="Times New Roman" w:hAnsi="Times New Roman" w:eastAsia="方正仿宋_GBK" w:cs="Times New Roman"/>
              </w:rPr>
              <w:t>等</w:t>
            </w:r>
            <w:r>
              <w:rPr>
                <w:rFonts w:ascii="Times New Roman" w:hAnsi="Times New Roman" w:eastAsia="方正仿宋_GBK" w:cs="Times New Roman"/>
              </w:rPr>
              <w:t>关键页</w:t>
            </w:r>
            <w:r>
              <w:rPr>
                <w:rFonts w:hint="eastAsia" w:ascii="Times New Roman" w:hAnsi="Times New Roman" w:eastAsia="方正仿宋_GBK" w:cs="Times New Roman"/>
              </w:rPr>
              <w:t>，</w:t>
            </w:r>
            <w:r>
              <w:rPr>
                <w:rFonts w:ascii="Times New Roman" w:hAnsi="Times New Roman" w:eastAsia="方正仿宋_GBK" w:cs="Times New Roman"/>
              </w:rPr>
              <w:t>并明确标注其所对应的客户类型</w:t>
            </w:r>
            <w:r>
              <w:rPr>
                <w:rFonts w:hint="eastAsia" w:ascii="Times New Roman" w:hAnsi="Times New Roman" w:eastAsia="方正仿宋_GBK" w:cs="Times New Roman"/>
              </w:rPr>
              <w:t>及规模信息</w:t>
            </w:r>
            <w:r>
              <w:rPr>
                <w:rFonts w:ascii="Times New Roman" w:hAnsi="Times New Roman" w:eastAsia="方正仿宋_GBK" w:cs="Times New Roman"/>
              </w:rPr>
              <w:t>（如大型企事业单位/</w:t>
            </w:r>
            <w:r>
              <w:rPr>
                <w:rFonts w:hint="eastAsia" w:ascii="Times New Roman" w:hAnsi="Times New Roman" w:eastAsia="方正仿宋_GBK" w:cs="Times New Roman"/>
              </w:rPr>
              <w:t>大型国有文化企事业单位</w:t>
            </w:r>
            <w:r>
              <w:rPr>
                <w:rFonts w:ascii="Times New Roman" w:hAnsi="Times New Roman" w:eastAsia="方正仿宋_GBK" w:cs="Times New Roman"/>
              </w:rPr>
              <w:t>）。</w:t>
            </w:r>
          </w:p>
        </w:tc>
      </w:tr>
      <w:tr w14:paraId="7797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atLeast"/>
        </w:trPr>
        <w:tc>
          <w:tcPr>
            <w:tcW w:w="1312" w:type="dxa"/>
            <w:vMerge w:val="continue"/>
            <w:tcBorders>
              <w:tl2br w:val="nil"/>
              <w:tr2bl w:val="nil"/>
            </w:tcBorders>
            <w:shd w:val="clear" w:color="auto" w:fill="auto"/>
            <w:tcMar>
              <w:top w:w="150" w:type="dxa"/>
              <w:left w:w="0" w:type="dxa"/>
              <w:bottom w:w="150" w:type="dxa"/>
              <w:right w:w="240" w:type="dxa"/>
            </w:tcMar>
            <w:vAlign w:val="center"/>
          </w:tcPr>
          <w:p w14:paraId="53912CD7">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4F792E55">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典型案例能力（</w:t>
            </w:r>
            <w:r>
              <w:rPr>
                <w:rFonts w:hint="eastAsia" w:ascii="Times New Roman" w:hAnsi="Times New Roman" w:eastAsia="方正黑体简体" w:cs="Times New Roman"/>
              </w:rPr>
              <w:t>3</w:t>
            </w:r>
            <w:r>
              <w:rPr>
                <w:rFonts w:ascii="Times New Roman" w:hAnsi="Times New Roman" w:eastAsia="方正黑体简体" w:cs="Times New Roman"/>
              </w:rPr>
              <w:t>分）</w:t>
            </w:r>
          </w:p>
        </w:tc>
        <w:tc>
          <w:tcPr>
            <w:tcW w:w="7572" w:type="dxa"/>
            <w:tcBorders>
              <w:tl2br w:val="nil"/>
              <w:tr2bl w:val="nil"/>
            </w:tcBorders>
            <w:shd w:val="clear" w:color="auto" w:fill="auto"/>
            <w:tcMar>
              <w:top w:w="150" w:type="dxa"/>
              <w:left w:w="240" w:type="dxa"/>
              <w:bottom w:w="150" w:type="dxa"/>
              <w:right w:w="240" w:type="dxa"/>
            </w:tcMar>
            <w:vAlign w:val="center"/>
          </w:tcPr>
          <w:p w14:paraId="75BA0EBD">
            <w:pPr>
              <w:spacing w:line="280" w:lineRule="exact"/>
              <w:rPr>
                <w:rFonts w:ascii="Times New Roman" w:hAnsi="Times New Roman" w:eastAsia="方正仿宋_GBK" w:cs="Times New Roman"/>
                <w:b/>
                <w:bCs/>
              </w:rPr>
            </w:pPr>
            <w:r>
              <w:rPr>
                <w:rFonts w:ascii="Times New Roman" w:hAnsi="Times New Roman" w:eastAsia="方正仿宋_GBK" w:cs="Times New Roman"/>
                <w:b/>
                <w:bCs/>
              </w:rPr>
              <w:t>• 处理复杂、重大法律事务的实战能力</w:t>
            </w:r>
            <w:r>
              <w:rPr>
                <w:rFonts w:hint="eastAsia" w:ascii="Times New Roman" w:hAnsi="Times New Roman" w:eastAsia="方正仿宋_GBK" w:cs="Times New Roman"/>
                <w:b/>
                <w:bCs/>
              </w:rPr>
              <w:t>（3分）：</w:t>
            </w:r>
          </w:p>
          <w:p w14:paraId="16ED7768">
            <w:pPr>
              <w:spacing w:line="280" w:lineRule="exact"/>
              <w:rPr>
                <w:rFonts w:hint="eastAsia" w:ascii="Times New Roman" w:hAnsi="Times New Roman" w:eastAsia="方正仿宋_GBK" w:cs="Times New Roman"/>
              </w:rPr>
            </w:pPr>
            <w:r>
              <w:rPr>
                <w:rFonts w:ascii="Times New Roman" w:hAnsi="Times New Roman" w:eastAsia="方正仿宋_GBK" w:cs="Times New Roman"/>
              </w:rPr>
              <w:t>须</w:t>
            </w:r>
            <w:r>
              <w:rPr>
                <w:rFonts w:hint="eastAsia" w:ascii="Times New Roman" w:hAnsi="Times New Roman" w:eastAsia="方正仿宋_GBK" w:cs="Times New Roman"/>
              </w:rPr>
              <w:t>提供</w:t>
            </w:r>
            <w:r>
              <w:rPr>
                <w:rFonts w:ascii="Times New Roman" w:hAnsi="Times New Roman" w:eastAsia="方正仿宋_GBK" w:cs="Times New Roman"/>
              </w:rPr>
              <w:t>近</w:t>
            </w:r>
            <w:r>
              <w:rPr>
                <w:rFonts w:hint="eastAsia" w:ascii="Times New Roman" w:hAnsi="Times New Roman" w:eastAsia="方正仿宋_GBK" w:cs="Times New Roman"/>
              </w:rPr>
              <w:t>3</w:t>
            </w:r>
            <w:r>
              <w:rPr>
                <w:rFonts w:ascii="Times New Roman" w:hAnsi="Times New Roman" w:eastAsia="方正仿宋_GBK" w:cs="Times New Roman"/>
              </w:rPr>
              <w:t>年内</w:t>
            </w:r>
            <w:r>
              <w:rPr>
                <w:rFonts w:hint="eastAsia" w:ascii="Times New Roman" w:hAnsi="Times New Roman" w:eastAsia="方正仿宋_GBK" w:cs="Times New Roman"/>
              </w:rPr>
              <w:t>主导处理过的以大型国有文化企事业单</w:t>
            </w:r>
            <w:r>
              <w:rPr>
                <w:rFonts w:ascii="Times New Roman" w:hAnsi="Times New Roman" w:eastAsia="方正仿宋_GBK" w:cs="Times New Roman"/>
              </w:rPr>
              <w:t>位</w:t>
            </w:r>
            <w:r>
              <w:rPr>
                <w:rFonts w:hint="eastAsia" w:ascii="Times New Roman" w:hAnsi="Times New Roman" w:eastAsia="方正仿宋_GBK" w:cs="Times New Roman"/>
              </w:rPr>
              <w:t>为主体的复杂、重大诉讼案件或非诉讼项目</w:t>
            </w:r>
            <w:r>
              <w:rPr>
                <w:rFonts w:ascii="Times New Roman" w:hAnsi="Times New Roman" w:eastAsia="方正仿宋_GBK" w:cs="Times New Roman"/>
              </w:rPr>
              <w:t>（标的≥</w:t>
            </w:r>
            <w:r>
              <w:rPr>
                <w:rFonts w:hint="eastAsia" w:ascii="Times New Roman" w:hAnsi="Times New Roman" w:eastAsia="方正仿宋_GBK" w:cs="Times New Roman"/>
              </w:rPr>
              <w:t>50</w:t>
            </w:r>
            <w:r>
              <w:rPr>
                <w:rFonts w:ascii="Times New Roman" w:hAnsi="Times New Roman" w:eastAsia="方正仿宋_GBK" w:cs="Times New Roman"/>
              </w:rPr>
              <w:t>0万元）的</w:t>
            </w:r>
            <w:r>
              <w:rPr>
                <w:rFonts w:hint="eastAsia" w:ascii="Times New Roman" w:hAnsi="Times New Roman" w:eastAsia="方正仿宋_GBK" w:cs="Times New Roman"/>
              </w:rPr>
              <w:t>证明材料</w:t>
            </w:r>
            <w:r>
              <w:rPr>
                <w:rFonts w:ascii="Times New Roman" w:hAnsi="Times New Roman" w:eastAsia="方正仿宋_GBK" w:cs="Times New Roman"/>
              </w:rPr>
              <w:t>。每提供1</w:t>
            </w:r>
            <w:r>
              <w:rPr>
                <w:rFonts w:hint="eastAsia" w:ascii="Times New Roman" w:hAnsi="Times New Roman" w:eastAsia="方正仿宋_GBK" w:cs="Times New Roman"/>
              </w:rPr>
              <w:t>份</w:t>
            </w:r>
            <w:r>
              <w:rPr>
                <w:rFonts w:ascii="Times New Roman" w:hAnsi="Times New Roman" w:eastAsia="方正仿宋_GBK" w:cs="Times New Roman"/>
              </w:rPr>
              <w:t>，得1.5分。</w:t>
            </w:r>
            <w:r>
              <w:rPr>
                <w:rFonts w:hint="eastAsia" w:ascii="Times New Roman" w:hAnsi="Times New Roman" w:eastAsia="方正仿宋_GBK" w:cs="Times New Roman"/>
              </w:rPr>
              <w:t>最多提供2份。</w:t>
            </w:r>
          </w:p>
          <w:p w14:paraId="0BAE1BED">
            <w:pPr>
              <w:spacing w:line="280" w:lineRule="exact"/>
              <w:rPr>
                <w:rFonts w:ascii="Times New Roman" w:hAnsi="Times New Roman" w:eastAsia="方正仿宋_GBK" w:cs="Times New Roman"/>
              </w:rPr>
            </w:pPr>
            <w:r>
              <w:rPr>
                <w:rFonts w:ascii="Times New Roman" w:hAnsi="Times New Roman" w:eastAsia="方正仿宋_GBK" w:cs="Times New Roman"/>
              </w:rPr>
              <w:t>本项</w:t>
            </w:r>
            <w:r>
              <w:rPr>
                <w:rFonts w:hint="eastAsia" w:ascii="Times New Roman" w:hAnsi="Times New Roman" w:eastAsia="方正仿宋_GBK" w:cs="Times New Roman"/>
              </w:rPr>
              <w:t>累计总分不超过</w:t>
            </w:r>
            <w:r>
              <w:rPr>
                <w:rFonts w:ascii="Times New Roman" w:hAnsi="Times New Roman" w:eastAsia="方正仿宋_GBK" w:cs="Times New Roman"/>
              </w:rPr>
              <w:t>3分。</w:t>
            </w:r>
          </w:p>
        </w:tc>
        <w:tc>
          <w:tcPr>
            <w:tcW w:w="5225" w:type="dxa"/>
            <w:tcBorders>
              <w:tl2br w:val="nil"/>
              <w:tr2bl w:val="nil"/>
            </w:tcBorders>
            <w:shd w:val="clear" w:color="auto" w:fill="auto"/>
            <w:tcMar>
              <w:top w:w="150" w:type="dxa"/>
              <w:left w:w="240" w:type="dxa"/>
              <w:bottom w:w="150" w:type="dxa"/>
              <w:right w:w="240" w:type="dxa"/>
            </w:tcMar>
            <w:vAlign w:val="center"/>
          </w:tcPr>
          <w:p w14:paraId="2A1C2326">
            <w:pPr>
              <w:spacing w:line="280" w:lineRule="exact"/>
              <w:rPr>
                <w:rFonts w:ascii="Times New Roman" w:hAnsi="Times New Roman" w:eastAsia="方正仿宋_GBK" w:cs="Times New Roman"/>
              </w:rPr>
            </w:pPr>
            <w:r>
              <w:rPr>
                <w:rFonts w:ascii="Times New Roman" w:hAnsi="Times New Roman" w:eastAsia="方正仿宋_GBK" w:cs="Times New Roman"/>
              </w:rPr>
              <w:t>提供</w:t>
            </w:r>
            <w:r>
              <w:rPr>
                <w:rFonts w:hint="eastAsia" w:ascii="Times New Roman" w:hAnsi="Times New Roman" w:eastAsia="方正仿宋_GBK" w:cs="Times New Roman"/>
              </w:rPr>
              <w:t>的证明材料应包括</w:t>
            </w:r>
            <w:r>
              <w:rPr>
                <w:rFonts w:ascii="Times New Roman" w:hAnsi="Times New Roman" w:eastAsia="方正仿宋_GBK" w:cs="Times New Roman"/>
              </w:rPr>
              <w:t>委托合同、判决/裁决书、案例所涉核心法律问题、处理结果与成效总结</w:t>
            </w:r>
            <w:r>
              <w:rPr>
                <w:rFonts w:hint="eastAsia" w:ascii="Times New Roman" w:hAnsi="Times New Roman" w:eastAsia="方正仿宋_GBK" w:cs="Times New Roman"/>
              </w:rPr>
              <w:t>等</w:t>
            </w:r>
            <w:r>
              <w:rPr>
                <w:rFonts w:ascii="Times New Roman" w:hAnsi="Times New Roman" w:eastAsia="方正仿宋_GBK" w:cs="Times New Roman"/>
              </w:rPr>
              <w:t>完整</w:t>
            </w:r>
            <w:r>
              <w:rPr>
                <w:rFonts w:hint="eastAsia" w:ascii="Times New Roman" w:hAnsi="Times New Roman" w:eastAsia="方正仿宋_GBK" w:cs="Times New Roman"/>
              </w:rPr>
              <w:t>案例信息。</w:t>
            </w:r>
            <w:r>
              <w:rPr>
                <w:rFonts w:ascii="Times New Roman" w:hAnsi="Times New Roman" w:eastAsia="方正仿宋_GBK" w:cs="Times New Roman"/>
              </w:rPr>
              <w:t xml:space="preserve"> </w:t>
            </w:r>
          </w:p>
        </w:tc>
      </w:tr>
      <w:tr w14:paraId="647B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12" w:type="dxa"/>
            <w:vMerge w:val="continue"/>
            <w:tcBorders>
              <w:tl2br w:val="nil"/>
              <w:tr2bl w:val="nil"/>
            </w:tcBorders>
            <w:shd w:val="clear" w:color="auto" w:fill="auto"/>
            <w:tcMar>
              <w:top w:w="150" w:type="dxa"/>
              <w:left w:w="0" w:type="dxa"/>
              <w:bottom w:w="150" w:type="dxa"/>
              <w:right w:w="240" w:type="dxa"/>
            </w:tcMar>
            <w:vAlign w:val="center"/>
          </w:tcPr>
          <w:p w14:paraId="3E6C547B">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093B94BA">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团队荣誉与资质（</w:t>
            </w:r>
            <w:r>
              <w:rPr>
                <w:rFonts w:hint="eastAsia" w:ascii="Times New Roman" w:hAnsi="Times New Roman" w:eastAsia="方正黑体简体" w:cs="Times New Roman"/>
              </w:rPr>
              <w:t>2</w:t>
            </w:r>
            <w:r>
              <w:rPr>
                <w:rFonts w:ascii="Times New Roman" w:hAnsi="Times New Roman" w:eastAsia="方正黑体简体" w:cs="Times New Roman"/>
              </w:rPr>
              <w:t>分）</w:t>
            </w:r>
          </w:p>
        </w:tc>
        <w:tc>
          <w:tcPr>
            <w:tcW w:w="7572" w:type="dxa"/>
            <w:tcBorders>
              <w:tl2br w:val="nil"/>
              <w:tr2bl w:val="nil"/>
            </w:tcBorders>
            <w:shd w:val="clear" w:color="auto" w:fill="auto"/>
            <w:tcMar>
              <w:top w:w="150" w:type="dxa"/>
              <w:left w:w="240" w:type="dxa"/>
              <w:bottom w:w="150" w:type="dxa"/>
              <w:right w:w="240" w:type="dxa"/>
            </w:tcMar>
            <w:vAlign w:val="center"/>
          </w:tcPr>
          <w:p w14:paraId="7746C869">
            <w:pPr>
              <w:spacing w:line="280" w:lineRule="exact"/>
              <w:rPr>
                <w:rFonts w:ascii="Times New Roman" w:hAnsi="Times New Roman" w:eastAsia="方正仿宋_GBK" w:cs="Times New Roman"/>
                <w:b/>
                <w:bCs/>
              </w:rPr>
            </w:pPr>
            <w:r>
              <w:rPr>
                <w:rFonts w:ascii="Times New Roman" w:hAnsi="Times New Roman" w:eastAsia="方正仿宋_GBK" w:cs="Times New Roman"/>
                <w:b/>
                <w:bCs/>
              </w:rPr>
              <w:t>• 行业与社会认可度及专家智库价值</w:t>
            </w:r>
            <w:r>
              <w:rPr>
                <w:rFonts w:hint="eastAsia" w:ascii="Times New Roman" w:hAnsi="Times New Roman" w:eastAsia="方正仿宋_GBK" w:cs="Times New Roman"/>
                <w:b/>
                <w:bCs/>
              </w:rPr>
              <w:t>：</w:t>
            </w:r>
          </w:p>
          <w:p w14:paraId="23654D81">
            <w:pPr>
              <w:spacing w:line="280" w:lineRule="exact"/>
              <w:rPr>
                <w:rFonts w:hint="eastAsia" w:ascii="方正仿宋_GBK" w:hAnsi="Times New Roman" w:eastAsia="方正仿宋_GBK" w:cs="Times New Roman"/>
                <w:szCs w:val="21"/>
              </w:rPr>
            </w:pPr>
            <w:r>
              <w:rPr>
                <w:rFonts w:hint="eastAsia" w:ascii="方正仿宋_GBK" w:hAnsi="Times New Roman" w:eastAsia="方正仿宋_GBK" w:cs="Times New Roman"/>
                <w:szCs w:val="21"/>
              </w:rPr>
              <w:t>须提供参选人拟派项目服务团队成员获得过省级</w:t>
            </w:r>
            <w:r>
              <w:rPr>
                <w:rFonts w:hint="eastAsia" w:ascii="方正仿宋_GBK" w:eastAsia="方正仿宋_GBK"/>
                <w:color w:val="000000"/>
                <w:szCs w:val="21"/>
              </w:rPr>
              <w:t>及以上（人民政府、司法部门、律师协会）荣誉/资质</w:t>
            </w:r>
            <w:r>
              <w:rPr>
                <w:rFonts w:hint="eastAsia" w:ascii="方正仿宋_GBK" w:hAnsi="Times New Roman" w:eastAsia="方正仿宋_GBK" w:cs="Times New Roman"/>
                <w:szCs w:val="21"/>
              </w:rPr>
              <w:t>的证明材料。国家级荣誉/资质每项得2分，省级荣誉/资质每项1分。</w:t>
            </w:r>
          </w:p>
          <w:p w14:paraId="17ABD1E0">
            <w:pPr>
              <w:spacing w:line="280" w:lineRule="exact"/>
              <w:rPr>
                <w:rFonts w:ascii="Times New Roman" w:hAnsi="Times New Roman" w:eastAsia="方正仿宋_GBK" w:cs="Times New Roman"/>
              </w:rPr>
            </w:pPr>
            <w:r>
              <w:rPr>
                <w:rFonts w:hint="eastAsia" w:ascii="方正仿宋_GBK" w:hAnsi="Times New Roman" w:eastAsia="方正仿宋_GBK" w:cs="Times New Roman"/>
                <w:szCs w:val="21"/>
              </w:rPr>
              <w:t>本项累计总分不超过2分。</w:t>
            </w:r>
          </w:p>
        </w:tc>
        <w:tc>
          <w:tcPr>
            <w:tcW w:w="5225" w:type="dxa"/>
            <w:tcBorders>
              <w:tl2br w:val="nil"/>
              <w:tr2bl w:val="nil"/>
            </w:tcBorders>
            <w:shd w:val="clear" w:color="auto" w:fill="auto"/>
            <w:tcMar>
              <w:top w:w="150" w:type="dxa"/>
              <w:left w:w="240" w:type="dxa"/>
              <w:bottom w:w="150" w:type="dxa"/>
              <w:right w:w="240" w:type="dxa"/>
            </w:tcMar>
            <w:vAlign w:val="center"/>
          </w:tcPr>
          <w:p w14:paraId="3B8D079C">
            <w:pPr>
              <w:spacing w:line="280" w:lineRule="exact"/>
              <w:rPr>
                <w:rFonts w:ascii="Times New Roman" w:hAnsi="Times New Roman" w:eastAsia="方正仿宋_GBK" w:cs="Times New Roman"/>
              </w:rPr>
            </w:pPr>
            <w:r>
              <w:rPr>
                <w:rFonts w:hint="eastAsia" w:ascii="Times New Roman" w:hAnsi="Times New Roman" w:eastAsia="方正仿宋_GBK" w:cs="Times New Roman"/>
              </w:rPr>
              <w:t>提供的证明材料</w:t>
            </w:r>
            <w:r>
              <w:rPr>
                <w:rFonts w:ascii="Times New Roman" w:hAnsi="Times New Roman" w:eastAsia="方正仿宋_GBK" w:cs="Times New Roman"/>
              </w:rPr>
              <w:t>以清单形式列出参选人拟派</w:t>
            </w:r>
            <w:r>
              <w:rPr>
                <w:rFonts w:hint="eastAsia" w:ascii="Times New Roman" w:hAnsi="Times New Roman" w:eastAsia="方正仿宋_GBK" w:cs="Times New Roman"/>
              </w:rPr>
              <w:t>项目服务</w:t>
            </w:r>
            <w:r>
              <w:rPr>
                <w:rFonts w:ascii="Times New Roman" w:hAnsi="Times New Roman" w:eastAsia="方正仿宋_GBK" w:cs="Times New Roman"/>
              </w:rPr>
              <w:t>团队</w:t>
            </w:r>
            <w:r>
              <w:rPr>
                <w:rFonts w:hint="eastAsia" w:ascii="Times New Roman" w:hAnsi="Times New Roman" w:eastAsia="方正仿宋_GBK" w:cs="Times New Roman"/>
              </w:rPr>
              <w:t>成员</w:t>
            </w:r>
            <w:r>
              <w:rPr>
                <w:rFonts w:ascii="Times New Roman" w:hAnsi="Times New Roman" w:eastAsia="方正仿宋_GBK" w:cs="Times New Roman"/>
              </w:rPr>
              <w:t>所获的国家级、省级荣誉</w:t>
            </w:r>
            <w:r>
              <w:rPr>
                <w:rFonts w:hint="eastAsia" w:ascii="Times New Roman" w:hAnsi="Times New Roman" w:eastAsia="方正仿宋_GBK" w:cs="Times New Roman"/>
              </w:rPr>
              <w:t>/资质，</w:t>
            </w:r>
            <w:r>
              <w:rPr>
                <w:rFonts w:ascii="Times New Roman" w:hAnsi="Times New Roman" w:eastAsia="方正仿宋_GBK" w:cs="Times New Roman"/>
              </w:rPr>
              <w:t>附证书复印件</w:t>
            </w:r>
            <w:r>
              <w:rPr>
                <w:rFonts w:hint="eastAsia" w:ascii="Times New Roman" w:hAnsi="Times New Roman" w:eastAsia="方正仿宋_GBK" w:cs="Times New Roman"/>
              </w:rPr>
              <w:t>，</w:t>
            </w:r>
            <w:r>
              <w:rPr>
                <w:rFonts w:ascii="Times New Roman" w:hAnsi="Times New Roman" w:eastAsia="方正仿宋_GBK" w:cs="Times New Roman"/>
              </w:rPr>
              <w:t>清单应注明名称、颁发单位及时间</w:t>
            </w:r>
            <w:r>
              <w:rPr>
                <w:rFonts w:hint="eastAsia" w:ascii="Times New Roman" w:hAnsi="Times New Roman" w:eastAsia="方正仿宋_GBK" w:cs="Times New Roman"/>
              </w:rPr>
              <w:t>。</w:t>
            </w:r>
          </w:p>
        </w:tc>
      </w:tr>
      <w:tr w14:paraId="39A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 w:hRule="atLeast"/>
        </w:trPr>
        <w:tc>
          <w:tcPr>
            <w:tcW w:w="1312" w:type="dxa"/>
            <w:tcBorders>
              <w:tl2br w:val="nil"/>
              <w:tr2bl w:val="nil"/>
            </w:tcBorders>
            <w:shd w:val="clear" w:color="auto" w:fill="auto"/>
            <w:tcMar>
              <w:top w:w="150" w:type="dxa"/>
              <w:left w:w="0" w:type="dxa"/>
              <w:bottom w:w="150" w:type="dxa"/>
              <w:right w:w="240" w:type="dxa"/>
            </w:tcMar>
            <w:vAlign w:val="center"/>
          </w:tcPr>
          <w:p w14:paraId="239562C0">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w:t>
            </w:r>
            <w:r>
              <w:rPr>
                <w:rFonts w:ascii="Times New Roman" w:hAnsi="Times New Roman" w:eastAsia="方正黑体简体" w:cs="Times New Roman"/>
              </w:rPr>
              <w:t>经济部分</w:t>
            </w:r>
          </w:p>
          <w:p w14:paraId="1FEC2178">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40</w:t>
            </w:r>
            <w:r>
              <w:rPr>
                <w:rFonts w:ascii="Times New Roman" w:hAnsi="Times New Roman" w:eastAsia="方正黑体简体" w:cs="Times New Roman"/>
              </w:rPr>
              <w:t>分</w:t>
            </w:r>
            <w:r>
              <w:rPr>
                <w:rFonts w:ascii="Times New Roman" w:hAnsi="Times New Roman" w:eastAsia="方正黑体简体" w:cs="Times New Roman"/>
              </w:rPr>
              <w:br w:type="textWrapping"/>
            </w:r>
          </w:p>
        </w:tc>
        <w:tc>
          <w:tcPr>
            <w:tcW w:w="1391" w:type="dxa"/>
            <w:tcBorders>
              <w:tl2br w:val="nil"/>
              <w:tr2bl w:val="nil"/>
            </w:tcBorders>
            <w:shd w:val="clear" w:color="auto" w:fill="auto"/>
            <w:tcMar>
              <w:top w:w="150" w:type="dxa"/>
              <w:left w:w="240" w:type="dxa"/>
              <w:bottom w:w="150" w:type="dxa"/>
              <w:right w:w="240" w:type="dxa"/>
            </w:tcMar>
            <w:vAlign w:val="center"/>
          </w:tcPr>
          <w:p w14:paraId="0859ACC2">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报价合理性评分</w:t>
            </w:r>
          </w:p>
        </w:tc>
        <w:tc>
          <w:tcPr>
            <w:tcW w:w="7572" w:type="dxa"/>
            <w:tcBorders>
              <w:tl2br w:val="nil"/>
              <w:tr2bl w:val="nil"/>
            </w:tcBorders>
            <w:shd w:val="clear" w:color="auto" w:fill="auto"/>
            <w:tcMar>
              <w:top w:w="150" w:type="dxa"/>
              <w:left w:w="240" w:type="dxa"/>
              <w:bottom w:w="150" w:type="dxa"/>
              <w:right w:w="240" w:type="dxa"/>
            </w:tcMar>
            <w:vAlign w:val="center"/>
          </w:tcPr>
          <w:p w14:paraId="2ADC69CC">
            <w:pPr>
              <w:spacing w:line="280" w:lineRule="exact"/>
              <w:rPr>
                <w:rFonts w:ascii="Times New Roman" w:hAnsi="Times New Roman" w:eastAsia="方正仿宋_GBK" w:cs="Times New Roman"/>
              </w:rPr>
            </w:pPr>
            <w:r>
              <w:rPr>
                <w:rFonts w:ascii="Times New Roman" w:hAnsi="Times New Roman" w:eastAsia="方正仿宋_GBK" w:cs="Times New Roman"/>
                <w:b/>
                <w:bCs/>
              </w:rPr>
              <w:t>• 基准价</w:t>
            </w:r>
            <w:r>
              <w:rPr>
                <w:rFonts w:ascii="Times New Roman" w:hAnsi="Times New Roman" w:eastAsia="方正仿宋_GBK" w:cs="Times New Roman"/>
              </w:rPr>
              <w:t xml:space="preserve"> = </w:t>
            </w:r>
            <w:r>
              <w:rPr>
                <w:rFonts w:hint="eastAsia" w:ascii="Times New Roman" w:hAnsi="Times New Roman" w:eastAsia="方正仿宋_GBK" w:cs="Times New Roman"/>
              </w:rPr>
              <w:t>本次采购项目</w:t>
            </w:r>
            <w:r>
              <w:rPr>
                <w:rFonts w:ascii="Times New Roman" w:hAnsi="Times New Roman" w:eastAsia="方正仿宋_GBK" w:cs="Times New Roman"/>
              </w:rPr>
              <w:t>所有有效报价的算术平均值；</w:t>
            </w:r>
          </w:p>
          <w:p w14:paraId="093B7E49">
            <w:pPr>
              <w:spacing w:line="280" w:lineRule="exact"/>
              <w:rPr>
                <w:rFonts w:ascii="Times New Roman" w:hAnsi="Times New Roman" w:eastAsia="方正仿宋_GBK" w:cs="Times New Roman"/>
              </w:rPr>
            </w:pPr>
            <w:r>
              <w:rPr>
                <w:rFonts w:ascii="Times New Roman" w:hAnsi="Times New Roman" w:eastAsia="方正仿宋_GBK" w:cs="Times New Roman"/>
              </w:rPr>
              <w:t xml:space="preserve">• </w:t>
            </w:r>
            <w:r>
              <w:rPr>
                <w:rFonts w:ascii="Times New Roman" w:hAnsi="Times New Roman" w:eastAsia="方正仿宋_GBK" w:cs="Times New Roman"/>
                <w:b/>
                <w:bCs/>
              </w:rPr>
              <w:t>有效报价须为1000元整数倍</w:t>
            </w:r>
            <w:r>
              <w:rPr>
                <w:rFonts w:ascii="Times New Roman" w:hAnsi="Times New Roman" w:eastAsia="方正仿宋_GBK" w:cs="Times New Roman"/>
              </w:rPr>
              <w:t>，≤16万元/家；</w:t>
            </w:r>
            <w:r>
              <w:rPr>
                <w:rFonts w:ascii="Times New Roman" w:hAnsi="Times New Roman" w:eastAsia="方正仿宋_GBK" w:cs="Times New Roman"/>
              </w:rPr>
              <w:br w:type="textWrapping"/>
            </w:r>
            <w:r>
              <w:rPr>
                <w:rFonts w:ascii="Times New Roman" w:hAnsi="Times New Roman" w:eastAsia="方正仿宋_GBK" w:cs="Times New Roman"/>
              </w:rPr>
              <w:t>• </w:t>
            </w:r>
            <w:r>
              <w:rPr>
                <w:rFonts w:ascii="Times New Roman" w:hAnsi="Times New Roman" w:eastAsia="方正仿宋_GBK" w:cs="Times New Roman"/>
                <w:b/>
                <w:bCs/>
              </w:rPr>
              <w:t>得分公式：</w:t>
            </w:r>
            <w:r>
              <w:rPr>
                <w:rFonts w:ascii="Times New Roman" w:hAnsi="Times New Roman" w:eastAsia="方正仿宋_GBK" w:cs="Times New Roman"/>
              </w:rPr>
              <w:br w:type="textWrapping"/>
            </w:r>
            <w:r>
              <w:rPr>
                <w:rFonts w:ascii="Times New Roman" w:hAnsi="Times New Roman" w:eastAsia="方正仿宋_GBK" w:cs="Times New Roman"/>
              </w:rPr>
              <w:t>- 报价 = 基准价，得</w:t>
            </w:r>
            <w:r>
              <w:rPr>
                <w:rFonts w:hint="eastAsia" w:ascii="Times New Roman" w:hAnsi="Times New Roman" w:eastAsia="方正仿宋_GBK" w:cs="Times New Roman"/>
              </w:rPr>
              <w:t>40</w:t>
            </w:r>
            <w:r>
              <w:rPr>
                <w:rFonts w:ascii="Times New Roman" w:hAnsi="Times New Roman" w:eastAsia="方正仿宋_GBK" w:cs="Times New Roman"/>
              </w:rPr>
              <w:t>分；</w:t>
            </w:r>
            <w:r>
              <w:rPr>
                <w:rFonts w:ascii="Times New Roman" w:hAnsi="Times New Roman" w:eastAsia="方正仿宋_GBK" w:cs="Times New Roman"/>
              </w:rPr>
              <w:br w:type="textWrapping"/>
            </w:r>
            <w:r>
              <w:rPr>
                <w:rFonts w:ascii="Times New Roman" w:hAnsi="Times New Roman" w:eastAsia="方正仿宋_GBK" w:cs="Times New Roman"/>
              </w:rPr>
              <w:t>- 报价低于基准价：</w:t>
            </w:r>
            <w:r>
              <w:rPr>
                <w:rFonts w:hint="eastAsia" w:ascii="Times New Roman" w:hAnsi="Times New Roman" w:eastAsia="方正仿宋_GBK" w:cs="Times New Roman"/>
              </w:rPr>
              <w:t>40</w:t>
            </w:r>
            <w:r>
              <w:rPr>
                <w:rFonts w:ascii="Times New Roman" w:hAnsi="Times New Roman" w:eastAsia="方正仿宋_GBK" w:cs="Times New Roman"/>
              </w:rPr>
              <w:t xml:space="preserve"> - [(基准价-报价)/1000×0.1]；</w:t>
            </w:r>
            <w:r>
              <w:rPr>
                <w:rFonts w:ascii="Times New Roman" w:hAnsi="Times New Roman" w:eastAsia="方正仿宋_GBK" w:cs="Times New Roman"/>
              </w:rPr>
              <w:br w:type="textWrapping"/>
            </w:r>
            <w:r>
              <w:rPr>
                <w:rFonts w:ascii="Times New Roman" w:hAnsi="Times New Roman" w:eastAsia="方正仿宋_GBK" w:cs="Times New Roman"/>
              </w:rPr>
              <w:t>- 报价高于基准价：</w:t>
            </w:r>
            <w:r>
              <w:rPr>
                <w:rFonts w:hint="eastAsia" w:ascii="Times New Roman" w:hAnsi="Times New Roman" w:eastAsia="方正仿宋_GBK" w:cs="Times New Roman"/>
              </w:rPr>
              <w:t>40</w:t>
            </w:r>
            <w:r>
              <w:rPr>
                <w:rFonts w:ascii="Times New Roman" w:hAnsi="Times New Roman" w:eastAsia="方正仿宋_GBK" w:cs="Times New Roman"/>
              </w:rPr>
              <w:t xml:space="preserve"> - [(报价-基准价)/1000×0.3]；</w:t>
            </w:r>
            <w:r>
              <w:rPr>
                <w:rFonts w:ascii="Times New Roman" w:hAnsi="Times New Roman" w:eastAsia="方正仿宋_GBK" w:cs="Times New Roman"/>
              </w:rPr>
              <w:br w:type="textWrapping"/>
            </w:r>
            <w:r>
              <w:rPr>
                <w:rFonts w:ascii="Times New Roman" w:hAnsi="Times New Roman" w:eastAsia="方正仿宋_GBK" w:cs="Times New Roman"/>
              </w:rPr>
              <w:t>• </w:t>
            </w:r>
            <w:r>
              <w:rPr>
                <w:rFonts w:ascii="Times New Roman" w:hAnsi="Times New Roman" w:eastAsia="方正仿宋_GBK" w:cs="Times New Roman"/>
                <w:b/>
                <w:bCs/>
              </w:rPr>
              <w:t>报价明显偏离合理区间（低于基准价70%），参选人需提供补充材料证明，如不能提供或者提供的材料无法证明的，经评审小组确认后无效报价处理；分数保留到小数点后两位。</w:t>
            </w:r>
          </w:p>
        </w:tc>
        <w:tc>
          <w:tcPr>
            <w:tcW w:w="5225" w:type="dxa"/>
            <w:tcBorders>
              <w:tl2br w:val="nil"/>
              <w:tr2bl w:val="nil"/>
            </w:tcBorders>
            <w:shd w:val="clear" w:color="auto" w:fill="auto"/>
            <w:tcMar>
              <w:top w:w="150" w:type="dxa"/>
              <w:left w:w="240" w:type="dxa"/>
              <w:bottom w:w="150" w:type="dxa"/>
              <w:right w:w="240" w:type="dxa"/>
            </w:tcMar>
            <w:vAlign w:val="center"/>
          </w:tcPr>
          <w:p w14:paraId="2479080F"/>
        </w:tc>
      </w:tr>
      <w:tr w14:paraId="088C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rPr>
        <w:tc>
          <w:tcPr>
            <w:tcW w:w="1312" w:type="dxa"/>
            <w:vMerge w:val="restart"/>
            <w:tcBorders>
              <w:tl2br w:val="nil"/>
              <w:tr2bl w:val="nil"/>
            </w:tcBorders>
            <w:shd w:val="clear" w:color="auto" w:fill="auto"/>
            <w:tcMar>
              <w:top w:w="150" w:type="dxa"/>
              <w:left w:w="0" w:type="dxa"/>
              <w:bottom w:w="150" w:type="dxa"/>
              <w:right w:w="240" w:type="dxa"/>
            </w:tcMar>
            <w:vAlign w:val="center"/>
          </w:tcPr>
          <w:p w14:paraId="03F62E0C">
            <w:pPr>
              <w:spacing w:line="280" w:lineRule="exact"/>
              <w:jc w:val="center"/>
              <w:rPr>
                <w:rFonts w:ascii="Times New Roman" w:hAnsi="Times New Roman" w:eastAsia="方正黑体简体" w:cs="Times New Roman"/>
              </w:rPr>
            </w:pPr>
          </w:p>
          <w:p w14:paraId="4712957B">
            <w:pPr>
              <w:spacing w:line="280" w:lineRule="exact"/>
              <w:jc w:val="center"/>
              <w:rPr>
                <w:rFonts w:ascii="Times New Roman" w:hAnsi="Times New Roman" w:eastAsia="方正黑体简体" w:cs="Times New Roman"/>
              </w:rPr>
            </w:pPr>
          </w:p>
          <w:p w14:paraId="5E8F1219">
            <w:pPr>
              <w:spacing w:line="280" w:lineRule="exact"/>
              <w:jc w:val="center"/>
              <w:rPr>
                <w:rFonts w:ascii="Times New Roman" w:hAnsi="Times New Roman" w:eastAsia="方正黑体简体" w:cs="Times New Roman"/>
              </w:rPr>
            </w:pPr>
          </w:p>
          <w:p w14:paraId="7343AB60">
            <w:pPr>
              <w:spacing w:line="280" w:lineRule="exact"/>
              <w:jc w:val="center"/>
              <w:rPr>
                <w:rFonts w:ascii="Times New Roman" w:hAnsi="Times New Roman" w:eastAsia="方正黑体简体" w:cs="Times New Roman"/>
              </w:rPr>
            </w:pPr>
          </w:p>
          <w:p w14:paraId="02C56135">
            <w:pPr>
              <w:spacing w:line="280" w:lineRule="exact"/>
              <w:jc w:val="center"/>
              <w:rPr>
                <w:rFonts w:ascii="Times New Roman" w:hAnsi="Times New Roman" w:eastAsia="方正黑体简体" w:cs="Times New Roman"/>
              </w:rPr>
            </w:pPr>
          </w:p>
          <w:p w14:paraId="6CCDE1E2">
            <w:pPr>
              <w:spacing w:line="280" w:lineRule="exact"/>
              <w:jc w:val="center"/>
              <w:rPr>
                <w:rFonts w:ascii="Times New Roman" w:hAnsi="Times New Roman" w:eastAsia="方正黑体简体" w:cs="Times New Roman"/>
              </w:rPr>
            </w:pPr>
          </w:p>
          <w:p w14:paraId="5D573AEC">
            <w:pPr>
              <w:spacing w:line="280" w:lineRule="exact"/>
              <w:jc w:val="center"/>
              <w:rPr>
                <w:rFonts w:ascii="Times New Roman" w:hAnsi="Times New Roman" w:eastAsia="方正黑体简体" w:cs="Times New Roman"/>
              </w:rPr>
            </w:pPr>
          </w:p>
          <w:p w14:paraId="2B1606D5">
            <w:pPr>
              <w:spacing w:line="280" w:lineRule="exact"/>
              <w:jc w:val="center"/>
              <w:rPr>
                <w:rFonts w:ascii="Times New Roman" w:hAnsi="Times New Roman" w:eastAsia="方正黑体简体" w:cs="Times New Roman"/>
              </w:rPr>
            </w:pPr>
          </w:p>
          <w:p w14:paraId="3ABB1B18">
            <w:pPr>
              <w:spacing w:line="280" w:lineRule="exact"/>
              <w:jc w:val="center"/>
              <w:rPr>
                <w:rFonts w:ascii="Times New Roman" w:hAnsi="Times New Roman" w:eastAsia="方正黑体简体" w:cs="Times New Roman"/>
              </w:rPr>
            </w:pPr>
          </w:p>
          <w:p w14:paraId="0111B9E5">
            <w:pPr>
              <w:spacing w:line="280" w:lineRule="exact"/>
              <w:jc w:val="center"/>
              <w:rPr>
                <w:rFonts w:ascii="Times New Roman" w:hAnsi="Times New Roman" w:eastAsia="方正黑体简体" w:cs="Times New Roman"/>
              </w:rPr>
            </w:pPr>
          </w:p>
          <w:p w14:paraId="4948FB9D">
            <w:pPr>
              <w:spacing w:line="280" w:lineRule="exact"/>
              <w:jc w:val="center"/>
              <w:rPr>
                <w:rFonts w:ascii="Times New Roman" w:hAnsi="Times New Roman" w:eastAsia="方正黑体简体" w:cs="Times New Roman"/>
              </w:rPr>
            </w:pPr>
          </w:p>
          <w:p w14:paraId="34B1E5FF">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w:t>
            </w:r>
            <w:r>
              <w:rPr>
                <w:rFonts w:ascii="Times New Roman" w:hAnsi="Times New Roman" w:eastAsia="方正黑体简体" w:cs="Times New Roman"/>
              </w:rPr>
              <w:t>服务部分</w:t>
            </w:r>
          </w:p>
          <w:p w14:paraId="029E0467">
            <w:pPr>
              <w:spacing w:line="280" w:lineRule="exact"/>
              <w:jc w:val="center"/>
              <w:rPr>
                <w:rFonts w:ascii="Times New Roman" w:hAnsi="Times New Roman" w:eastAsia="方正黑体简体" w:cs="Times New Roman"/>
              </w:rPr>
            </w:pPr>
            <w:r>
              <w:rPr>
                <w:rFonts w:hint="eastAsia" w:ascii="Times New Roman" w:hAnsi="Times New Roman" w:eastAsia="方正黑体简体" w:cs="Times New Roman"/>
              </w:rPr>
              <w:t xml:space="preserve">  </w:t>
            </w:r>
            <w:r>
              <w:rPr>
                <w:rFonts w:ascii="Times New Roman" w:hAnsi="Times New Roman" w:eastAsia="方正黑体简体" w:cs="Times New Roman"/>
              </w:rPr>
              <w:t>50分</w:t>
            </w:r>
          </w:p>
        </w:tc>
        <w:tc>
          <w:tcPr>
            <w:tcW w:w="1391" w:type="dxa"/>
            <w:tcBorders>
              <w:tl2br w:val="nil"/>
              <w:tr2bl w:val="nil"/>
            </w:tcBorders>
            <w:shd w:val="clear" w:color="auto" w:fill="auto"/>
            <w:tcMar>
              <w:top w:w="150" w:type="dxa"/>
              <w:left w:w="240" w:type="dxa"/>
              <w:bottom w:w="150" w:type="dxa"/>
              <w:right w:w="240" w:type="dxa"/>
            </w:tcMar>
            <w:vAlign w:val="center"/>
          </w:tcPr>
          <w:p w14:paraId="7275FFA0">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服务团队配置与专业能力（20分）</w:t>
            </w:r>
          </w:p>
        </w:tc>
        <w:tc>
          <w:tcPr>
            <w:tcW w:w="7572" w:type="dxa"/>
            <w:tcBorders>
              <w:tl2br w:val="nil"/>
              <w:tr2bl w:val="nil"/>
            </w:tcBorders>
            <w:shd w:val="clear" w:color="auto" w:fill="auto"/>
            <w:tcMar>
              <w:top w:w="150" w:type="dxa"/>
              <w:left w:w="240" w:type="dxa"/>
              <w:bottom w:w="150" w:type="dxa"/>
              <w:right w:w="240" w:type="dxa"/>
            </w:tcMar>
            <w:vAlign w:val="center"/>
          </w:tcPr>
          <w:p w14:paraId="64615766">
            <w:pPr>
              <w:spacing w:line="280" w:lineRule="exact"/>
              <w:rPr>
                <w:rFonts w:ascii="Times New Roman" w:hAnsi="Times New Roman" w:eastAsia="方正仿宋_GBK" w:cs="Times New Roman"/>
              </w:rPr>
            </w:pPr>
            <w:r>
              <w:rPr>
                <w:rFonts w:ascii="Times New Roman" w:hAnsi="Times New Roman" w:eastAsia="方正仿宋_GBK" w:cs="Times New Roman"/>
                <w:b/>
                <w:bCs/>
              </w:rPr>
              <w:t>• 团队专业结构完整性（</w:t>
            </w:r>
            <w:r>
              <w:rPr>
                <w:rFonts w:hint="eastAsia" w:ascii="Times New Roman" w:hAnsi="Times New Roman" w:eastAsia="方正仿宋_GBK" w:cs="Times New Roman"/>
                <w:b/>
                <w:bCs/>
              </w:rPr>
              <w:t>8</w:t>
            </w:r>
            <w:r>
              <w:rPr>
                <w:rFonts w:ascii="Times New Roman" w:hAnsi="Times New Roman" w:eastAsia="方正仿宋_GBK" w:cs="Times New Roman"/>
                <w:b/>
                <w:bCs/>
              </w:rPr>
              <w:t>分）：</w:t>
            </w:r>
            <w:r>
              <w:rPr>
                <w:rFonts w:ascii="Times New Roman" w:hAnsi="Times New Roman" w:eastAsia="方正仿宋_GBK" w:cs="Times New Roman"/>
              </w:rPr>
              <w:t>优秀（</w:t>
            </w:r>
            <w:r>
              <w:rPr>
                <w:rFonts w:hint="eastAsia" w:ascii="Times New Roman" w:hAnsi="Times New Roman" w:eastAsia="方正仿宋_GBK" w:cs="Times New Roman"/>
              </w:rPr>
              <w:t>7</w:t>
            </w:r>
            <w:r>
              <w:rPr>
                <w:rFonts w:ascii="Times New Roman" w:hAnsi="Times New Roman" w:eastAsia="方正仿宋_GBK" w:cs="Times New Roman"/>
              </w:rPr>
              <w:t>-</w:t>
            </w:r>
            <w:r>
              <w:rPr>
                <w:rFonts w:hint="eastAsia" w:ascii="Times New Roman" w:hAnsi="Times New Roman" w:eastAsia="方正仿宋_GBK" w:cs="Times New Roman"/>
              </w:rPr>
              <w:t>8</w:t>
            </w:r>
            <w:r>
              <w:rPr>
                <w:rFonts w:ascii="Times New Roman" w:hAnsi="Times New Roman" w:eastAsia="方正仿宋_GBK" w:cs="Times New Roman"/>
              </w:rPr>
              <w:t>分）：</w:t>
            </w:r>
            <w:r>
              <w:rPr>
                <w:rFonts w:hint="eastAsia" w:ascii="Times New Roman" w:hAnsi="Times New Roman" w:eastAsia="方正仿宋_GBK" w:cs="Times New Roman"/>
              </w:rPr>
              <w:t>项目服务</w:t>
            </w:r>
            <w:r>
              <w:rPr>
                <w:rFonts w:ascii="Times New Roman" w:hAnsi="Times New Roman" w:eastAsia="方正仿宋_GBK" w:cs="Times New Roman"/>
              </w:rPr>
              <w:t>团队成员</w:t>
            </w:r>
            <w:r>
              <w:rPr>
                <w:rFonts w:hint="eastAsia" w:ascii="Times New Roman" w:hAnsi="Times New Roman" w:eastAsia="方正仿宋_GBK" w:cs="Times New Roman"/>
              </w:rPr>
              <w:t>的</w:t>
            </w:r>
            <w:r>
              <w:rPr>
                <w:rFonts w:ascii="Times New Roman" w:hAnsi="Times New Roman" w:eastAsia="方正仿宋_GBK" w:cs="Times New Roman"/>
              </w:rPr>
              <w:t>专业领域明确覆盖</w:t>
            </w:r>
            <w:r>
              <w:rPr>
                <w:rFonts w:hint="eastAsia" w:ascii="Times New Roman" w:hAnsi="Times New Roman" w:eastAsia="方正仿宋_GBK" w:cs="Times New Roman"/>
              </w:rPr>
              <w:t>【</w:t>
            </w:r>
            <w:r>
              <w:rPr>
                <w:rFonts w:ascii="Times New Roman" w:hAnsi="Times New Roman" w:eastAsia="方正仿宋_GBK" w:cs="Times New Roman"/>
              </w:rPr>
              <w:t>知识产权、</w:t>
            </w:r>
            <w:r>
              <w:rPr>
                <w:rFonts w:hint="eastAsia" w:ascii="Times New Roman" w:hAnsi="Times New Roman" w:eastAsia="方正仿宋_GBK" w:cs="Times New Roman"/>
              </w:rPr>
              <w:t>公司法人治理及国有企业改制、投融资及资本运作、工程建设、</w:t>
            </w:r>
            <w:r>
              <w:rPr>
                <w:rFonts w:ascii="Times New Roman" w:hAnsi="Times New Roman" w:eastAsia="方正仿宋_GBK" w:cs="Times New Roman"/>
              </w:rPr>
              <w:t>劳动人事、</w:t>
            </w:r>
            <w:r>
              <w:rPr>
                <w:rFonts w:hint="eastAsia" w:ascii="Times New Roman" w:hAnsi="Times New Roman" w:eastAsia="方正仿宋_GBK" w:cs="Times New Roman"/>
              </w:rPr>
              <w:t>财税监管】等6个</w:t>
            </w:r>
            <w:r>
              <w:rPr>
                <w:rFonts w:ascii="Times New Roman" w:hAnsi="Times New Roman" w:eastAsia="方正仿宋_GBK" w:cs="Times New Roman"/>
              </w:rPr>
              <w:t>领域，且</w:t>
            </w:r>
            <w:r>
              <w:rPr>
                <w:rFonts w:hint="eastAsia" w:ascii="Times New Roman" w:hAnsi="Times New Roman" w:eastAsia="方正仿宋_GBK" w:cs="Times New Roman"/>
              </w:rPr>
              <w:t>均</w:t>
            </w:r>
            <w:r>
              <w:rPr>
                <w:rFonts w:ascii="Times New Roman" w:hAnsi="Times New Roman" w:eastAsia="方正仿宋_GBK" w:cs="Times New Roman"/>
              </w:rPr>
              <w:t>有专人负责</w:t>
            </w:r>
            <w:r>
              <w:rPr>
                <w:rFonts w:hint="eastAsia" w:ascii="Times New Roman" w:hAnsi="Times New Roman" w:eastAsia="方正仿宋_GBK" w:cs="Times New Roman"/>
              </w:rPr>
              <w:t>。</w:t>
            </w:r>
            <w:r>
              <w:rPr>
                <w:rFonts w:ascii="Times New Roman" w:hAnsi="Times New Roman" w:eastAsia="方正仿宋_GBK" w:cs="Times New Roman"/>
              </w:rPr>
              <w:t>良好（</w:t>
            </w:r>
            <w:r>
              <w:rPr>
                <w:rFonts w:hint="eastAsia" w:ascii="Times New Roman" w:hAnsi="Times New Roman" w:eastAsia="方正仿宋_GBK" w:cs="Times New Roman"/>
              </w:rPr>
              <w:t>4</w:t>
            </w:r>
            <w:r>
              <w:rPr>
                <w:rFonts w:ascii="Times New Roman" w:hAnsi="Times New Roman" w:eastAsia="方正仿宋_GBK" w:cs="Times New Roman"/>
              </w:rPr>
              <w:t>-</w:t>
            </w:r>
            <w:r>
              <w:rPr>
                <w:rFonts w:hint="eastAsia" w:ascii="Times New Roman" w:hAnsi="Times New Roman" w:eastAsia="方正仿宋_GBK" w:cs="Times New Roman"/>
              </w:rPr>
              <w:t>6</w:t>
            </w:r>
            <w:r>
              <w:rPr>
                <w:rFonts w:ascii="Times New Roman" w:hAnsi="Times New Roman" w:eastAsia="方正仿宋_GBK" w:cs="Times New Roman"/>
              </w:rPr>
              <w:t>分）：覆盖其中4-5个核心领域。一般（1-</w:t>
            </w:r>
            <w:r>
              <w:rPr>
                <w:rFonts w:hint="eastAsia" w:ascii="Times New Roman" w:hAnsi="Times New Roman" w:eastAsia="方正仿宋_GBK" w:cs="Times New Roman"/>
              </w:rPr>
              <w:t>3</w:t>
            </w:r>
            <w:r>
              <w:rPr>
                <w:rFonts w:ascii="Times New Roman" w:hAnsi="Times New Roman" w:eastAsia="方正仿宋_GBK" w:cs="Times New Roman"/>
              </w:rPr>
              <w:t>分）：覆盖3个及以下领域。不得分（0分）：未提供团队名单或专业领域描述。</w:t>
            </w:r>
          </w:p>
          <w:p w14:paraId="5844E891">
            <w:pPr>
              <w:spacing w:line="280" w:lineRule="exact"/>
              <w:rPr>
                <w:rFonts w:ascii="Times New Roman" w:hAnsi="Times New Roman" w:eastAsia="方正仿宋_GBK" w:cs="Times New Roman"/>
              </w:rPr>
            </w:pPr>
            <w:r>
              <w:rPr>
                <w:rFonts w:ascii="Times New Roman" w:hAnsi="Times New Roman" w:eastAsia="方正仿宋_GBK" w:cs="Times New Roman"/>
                <w:b/>
                <w:bCs/>
              </w:rPr>
              <w:t>• </w:t>
            </w:r>
            <w:r>
              <w:rPr>
                <w:rFonts w:hint="eastAsia" w:ascii="Times New Roman" w:hAnsi="Times New Roman" w:eastAsia="方正仿宋_GBK" w:cs="Times New Roman"/>
                <w:b/>
                <w:bCs/>
              </w:rPr>
              <w:t>服务执行团队成员</w:t>
            </w:r>
            <w:r>
              <w:rPr>
                <w:rFonts w:ascii="Times New Roman" w:hAnsi="Times New Roman" w:eastAsia="方正仿宋_GBK" w:cs="Times New Roman"/>
                <w:b/>
                <w:bCs/>
              </w:rPr>
              <w:t>实战经验（</w:t>
            </w:r>
            <w:r>
              <w:rPr>
                <w:rFonts w:hint="eastAsia" w:ascii="Times New Roman" w:hAnsi="Times New Roman" w:eastAsia="方正仿宋_GBK" w:cs="Times New Roman"/>
                <w:b/>
                <w:bCs/>
              </w:rPr>
              <w:t>8</w:t>
            </w:r>
            <w:r>
              <w:rPr>
                <w:rFonts w:ascii="Times New Roman" w:hAnsi="Times New Roman" w:eastAsia="方正仿宋_GBK" w:cs="Times New Roman"/>
                <w:b/>
                <w:bCs/>
              </w:rPr>
              <w:t>分）：</w:t>
            </w:r>
            <w:r>
              <w:rPr>
                <w:rFonts w:ascii="Times New Roman" w:hAnsi="Times New Roman" w:eastAsia="方正仿宋_GBK" w:cs="Times New Roman"/>
              </w:rPr>
              <w:t> 优秀（</w:t>
            </w:r>
            <w:r>
              <w:rPr>
                <w:rFonts w:hint="eastAsia" w:ascii="Times New Roman" w:hAnsi="Times New Roman" w:eastAsia="方正仿宋_GBK" w:cs="Times New Roman"/>
              </w:rPr>
              <w:t>6</w:t>
            </w:r>
            <w:r>
              <w:rPr>
                <w:rFonts w:ascii="Times New Roman" w:hAnsi="Times New Roman" w:eastAsia="方正仿宋_GBK" w:cs="Times New Roman"/>
              </w:rPr>
              <w:t>-</w:t>
            </w:r>
            <w:r>
              <w:rPr>
                <w:rFonts w:hint="eastAsia" w:ascii="Times New Roman" w:hAnsi="Times New Roman" w:eastAsia="方正仿宋_GBK" w:cs="Times New Roman"/>
              </w:rPr>
              <w:t>8</w:t>
            </w:r>
            <w:r>
              <w:rPr>
                <w:rFonts w:ascii="Times New Roman" w:hAnsi="Times New Roman" w:eastAsia="方正仿宋_GBK" w:cs="Times New Roman"/>
              </w:rPr>
              <w:t>分）：执业年限≥10年，且均提供近3年内主导</w:t>
            </w:r>
            <w:r>
              <w:rPr>
                <w:rFonts w:hint="eastAsia" w:ascii="Times New Roman" w:hAnsi="Times New Roman" w:eastAsia="方正仿宋_GBK" w:cs="Times New Roman"/>
              </w:rPr>
              <w:t>处理过</w:t>
            </w:r>
            <w:r>
              <w:rPr>
                <w:rFonts w:ascii="Times New Roman" w:hAnsi="Times New Roman" w:eastAsia="方正仿宋_GBK" w:cs="Times New Roman"/>
              </w:rPr>
              <w:t>的</w:t>
            </w:r>
            <w:r>
              <w:rPr>
                <w:rFonts w:hint="eastAsia" w:ascii="Times New Roman" w:hAnsi="Times New Roman" w:eastAsia="方正仿宋_GBK" w:cs="Times New Roman"/>
              </w:rPr>
              <w:t>以大型国有文化企事业单</w:t>
            </w:r>
            <w:r>
              <w:rPr>
                <w:rFonts w:ascii="Times New Roman" w:hAnsi="Times New Roman" w:eastAsia="方正仿宋_GBK" w:cs="Times New Roman"/>
              </w:rPr>
              <w:t>位</w:t>
            </w:r>
            <w:r>
              <w:rPr>
                <w:rFonts w:hint="eastAsia" w:ascii="Times New Roman" w:hAnsi="Times New Roman" w:eastAsia="方正仿宋_GBK" w:cs="Times New Roman"/>
              </w:rPr>
              <w:t>为主体的复杂、重大诉讼案件或非诉讼项目</w:t>
            </w:r>
            <w:r>
              <w:rPr>
                <w:rFonts w:ascii="Times New Roman" w:hAnsi="Times New Roman" w:eastAsia="方正仿宋_GBK" w:cs="Times New Roman"/>
              </w:rPr>
              <w:t>（标的≥</w:t>
            </w:r>
            <w:r>
              <w:rPr>
                <w:rFonts w:hint="eastAsia" w:ascii="Times New Roman" w:hAnsi="Times New Roman" w:eastAsia="方正仿宋_GBK" w:cs="Times New Roman"/>
              </w:rPr>
              <w:t>50</w:t>
            </w:r>
            <w:r>
              <w:rPr>
                <w:rFonts w:ascii="Times New Roman" w:hAnsi="Times New Roman" w:eastAsia="方正仿宋_GBK" w:cs="Times New Roman"/>
              </w:rPr>
              <w:t>0万元）</w:t>
            </w:r>
            <w:r>
              <w:rPr>
                <w:rFonts w:hint="eastAsia" w:ascii="Times New Roman" w:hAnsi="Times New Roman" w:eastAsia="方正仿宋_GBK" w:cs="Times New Roman"/>
              </w:rPr>
              <w:t>的证明材料</w:t>
            </w:r>
            <w:r>
              <w:rPr>
                <w:rFonts w:ascii="Times New Roman" w:hAnsi="Times New Roman" w:eastAsia="方正仿宋_GBK" w:cs="Times New Roman"/>
              </w:rPr>
              <w:t>。良好（</w:t>
            </w:r>
            <w:r>
              <w:rPr>
                <w:rFonts w:hint="eastAsia" w:ascii="Times New Roman" w:hAnsi="Times New Roman" w:eastAsia="方正仿宋_GBK" w:cs="Times New Roman"/>
              </w:rPr>
              <w:t>3</w:t>
            </w:r>
            <w:r>
              <w:rPr>
                <w:rFonts w:ascii="Times New Roman" w:hAnsi="Times New Roman" w:eastAsia="方正仿宋_GBK" w:cs="Times New Roman"/>
              </w:rPr>
              <w:t>-</w:t>
            </w:r>
            <w:r>
              <w:rPr>
                <w:rFonts w:hint="eastAsia" w:ascii="Times New Roman" w:hAnsi="Times New Roman" w:eastAsia="方正仿宋_GBK" w:cs="Times New Roman"/>
              </w:rPr>
              <w:t>5</w:t>
            </w:r>
            <w:r>
              <w:rPr>
                <w:rFonts w:ascii="Times New Roman" w:hAnsi="Times New Roman" w:eastAsia="方正仿宋_GBK" w:cs="Times New Roman"/>
              </w:rPr>
              <w:t>分）：执业年限</w:t>
            </w:r>
            <w:r>
              <w:rPr>
                <w:rFonts w:hint="eastAsia" w:ascii="Times New Roman" w:hAnsi="Times New Roman" w:eastAsia="方正仿宋_GBK" w:cs="Times New Roman"/>
              </w:rPr>
              <w:t>5-10</w:t>
            </w:r>
            <w:r>
              <w:rPr>
                <w:rFonts w:ascii="Times New Roman" w:hAnsi="Times New Roman" w:eastAsia="方正仿宋_GBK" w:cs="Times New Roman"/>
              </w:rPr>
              <w:t>年，且至少1人提供</w:t>
            </w:r>
            <w:r>
              <w:rPr>
                <w:rFonts w:hint="eastAsia" w:ascii="Times New Roman" w:hAnsi="Times New Roman" w:eastAsia="方正仿宋_GBK" w:cs="Times New Roman"/>
              </w:rPr>
              <w:t>上述</w:t>
            </w:r>
            <w:r>
              <w:rPr>
                <w:rFonts w:ascii="Times New Roman" w:hAnsi="Times New Roman" w:eastAsia="方正仿宋_GBK" w:cs="Times New Roman"/>
              </w:rPr>
              <w:t>相关案例。 一般（1-</w:t>
            </w:r>
            <w:r>
              <w:rPr>
                <w:rFonts w:hint="eastAsia" w:ascii="Times New Roman" w:hAnsi="Times New Roman" w:eastAsia="方正仿宋_GBK" w:cs="Times New Roman"/>
              </w:rPr>
              <w:t>2</w:t>
            </w:r>
            <w:r>
              <w:rPr>
                <w:rFonts w:ascii="Times New Roman" w:hAnsi="Times New Roman" w:eastAsia="方正仿宋_GBK" w:cs="Times New Roman"/>
              </w:rPr>
              <w:t>分）：执业年限</w:t>
            </w:r>
            <w:r>
              <w:rPr>
                <w:rFonts w:hint="eastAsia" w:ascii="Times New Roman" w:hAnsi="Times New Roman" w:eastAsia="方正仿宋_GBK" w:cs="Times New Roman"/>
              </w:rPr>
              <w:t>≤5</w:t>
            </w:r>
            <w:r>
              <w:rPr>
                <w:rFonts w:ascii="Times New Roman" w:hAnsi="Times New Roman" w:eastAsia="方正仿宋_GBK" w:cs="Times New Roman"/>
              </w:rPr>
              <w:t>年，或案例关联度低。 不得分（0分）：未提供证明。</w:t>
            </w:r>
          </w:p>
          <w:p w14:paraId="53D0AF2C">
            <w:pPr>
              <w:spacing w:line="280" w:lineRule="exact"/>
              <w:rPr>
                <w:rFonts w:ascii="Times New Roman" w:hAnsi="Times New Roman" w:eastAsia="方正仿宋_GBK" w:cs="Times New Roman"/>
              </w:rPr>
            </w:pPr>
            <w:r>
              <w:rPr>
                <w:rFonts w:ascii="Times New Roman" w:hAnsi="Times New Roman" w:eastAsia="方正仿宋_GBK" w:cs="Times New Roman"/>
                <w:b/>
                <w:bCs/>
              </w:rPr>
              <w:t>• 团队稳定性（</w:t>
            </w:r>
            <w:r>
              <w:rPr>
                <w:rFonts w:hint="eastAsia" w:ascii="Times New Roman" w:hAnsi="Times New Roman" w:eastAsia="方正仿宋_GBK" w:cs="Times New Roman"/>
                <w:b/>
                <w:bCs/>
              </w:rPr>
              <w:t>4</w:t>
            </w:r>
            <w:r>
              <w:rPr>
                <w:rFonts w:ascii="Times New Roman" w:hAnsi="Times New Roman" w:eastAsia="方正仿宋_GBK" w:cs="Times New Roman"/>
                <w:b/>
                <w:bCs/>
              </w:rPr>
              <w:t>分）：</w:t>
            </w:r>
            <w:r>
              <w:rPr>
                <w:rFonts w:ascii="Times New Roman" w:hAnsi="Times New Roman" w:eastAsia="方正仿宋_GBK" w:cs="Times New Roman"/>
              </w:rPr>
              <w:t> 优秀（</w:t>
            </w:r>
            <w:r>
              <w:rPr>
                <w:rFonts w:hint="eastAsia" w:ascii="Times New Roman" w:hAnsi="Times New Roman" w:eastAsia="方正仿宋_GBK" w:cs="Times New Roman"/>
              </w:rPr>
              <w:t>3-4</w:t>
            </w:r>
            <w:r>
              <w:rPr>
                <w:rFonts w:ascii="Times New Roman" w:hAnsi="Times New Roman" w:eastAsia="方正仿宋_GBK" w:cs="Times New Roman"/>
              </w:rPr>
              <w:t>分）：承诺服务</w:t>
            </w:r>
            <w:r>
              <w:rPr>
                <w:rFonts w:hint="eastAsia" w:ascii="Times New Roman" w:hAnsi="Times New Roman" w:eastAsia="方正仿宋_GBK" w:cs="Times New Roman"/>
              </w:rPr>
              <w:t>执行团队成员服务期内保持稳定</w:t>
            </w:r>
            <w:r>
              <w:rPr>
                <w:rFonts w:ascii="Times New Roman" w:hAnsi="Times New Roman" w:eastAsia="方正仿宋_GBK" w:cs="Times New Roman"/>
              </w:rPr>
              <w:t>，并明确</w:t>
            </w:r>
            <w:r>
              <w:rPr>
                <w:rFonts w:hint="eastAsia" w:ascii="Times New Roman" w:hAnsi="Times New Roman" w:eastAsia="方正仿宋_GBK" w:cs="Times New Roman"/>
              </w:rPr>
              <w:t>优化</w:t>
            </w:r>
            <w:r>
              <w:rPr>
                <w:rFonts w:ascii="Times New Roman" w:hAnsi="Times New Roman" w:eastAsia="方正仿宋_GBK" w:cs="Times New Roman"/>
              </w:rPr>
              <w:t>替补机制。一般（1-2分）：仅承诺</w:t>
            </w:r>
            <w:r>
              <w:rPr>
                <w:rFonts w:hint="eastAsia" w:ascii="Times New Roman" w:hAnsi="Times New Roman" w:eastAsia="方正仿宋_GBK" w:cs="Times New Roman"/>
              </w:rPr>
              <w:t>相对</w:t>
            </w:r>
            <w:r>
              <w:rPr>
                <w:rFonts w:ascii="Times New Roman" w:hAnsi="Times New Roman" w:eastAsia="方正仿宋_GBK" w:cs="Times New Roman"/>
              </w:rPr>
              <w:t>稳定。不得分（0分）：未承诺。</w:t>
            </w:r>
          </w:p>
        </w:tc>
        <w:tc>
          <w:tcPr>
            <w:tcW w:w="5225" w:type="dxa"/>
            <w:tcBorders>
              <w:tl2br w:val="nil"/>
              <w:tr2bl w:val="nil"/>
            </w:tcBorders>
            <w:shd w:val="clear" w:color="auto" w:fill="auto"/>
            <w:tcMar>
              <w:top w:w="150" w:type="dxa"/>
              <w:left w:w="240" w:type="dxa"/>
              <w:bottom w:w="150" w:type="dxa"/>
              <w:right w:w="240" w:type="dxa"/>
            </w:tcMar>
            <w:vAlign w:val="center"/>
          </w:tcPr>
          <w:p w14:paraId="50151ED9">
            <w:r>
              <w:rPr>
                <w:rFonts w:ascii="Times New Roman" w:hAnsi="Times New Roman" w:eastAsia="方正仿宋_GBK" w:cs="Times New Roman"/>
                <w:b/>
                <w:bCs/>
              </w:rPr>
              <w:t>《项目服务团队组成表》</w:t>
            </w:r>
            <w:r>
              <w:rPr>
                <w:rFonts w:ascii="Times New Roman" w:hAnsi="Times New Roman" w:eastAsia="方正仿宋_GBK" w:cs="Times New Roman"/>
              </w:rPr>
              <w:t>详见第四章</w:t>
            </w:r>
            <w:r>
              <w:rPr>
                <w:rFonts w:hint="eastAsia" w:ascii="Times New Roman" w:hAnsi="Times New Roman" w:eastAsia="方正仿宋_GBK" w:cs="Times New Roman"/>
              </w:rPr>
              <w:t>。提供的证明材料应</w:t>
            </w:r>
            <w:r>
              <w:rPr>
                <w:rFonts w:ascii="Times New Roman" w:hAnsi="Times New Roman" w:eastAsia="方正仿宋_GBK" w:cs="Times New Roman"/>
              </w:rPr>
              <w:t>确保专业领域</w:t>
            </w:r>
            <w:r>
              <w:rPr>
                <w:rFonts w:hint="eastAsia" w:ascii="Times New Roman" w:hAnsi="Times New Roman" w:eastAsia="方正仿宋_GBK" w:cs="Times New Roman"/>
              </w:rPr>
              <w:t>清晰、</w:t>
            </w:r>
            <w:r>
              <w:rPr>
                <w:rFonts w:ascii="Times New Roman" w:hAnsi="Times New Roman" w:eastAsia="方正仿宋_GBK" w:cs="Times New Roman"/>
              </w:rPr>
              <w:t>人员信息准确</w:t>
            </w:r>
            <w:r>
              <w:rPr>
                <w:rFonts w:hint="eastAsia" w:ascii="Times New Roman" w:hAnsi="Times New Roman" w:eastAsia="方正仿宋_GBK" w:cs="Times New Roman"/>
              </w:rPr>
              <w:t>，每个</w:t>
            </w:r>
            <w:r>
              <w:rPr>
                <w:rFonts w:ascii="Times New Roman" w:hAnsi="Times New Roman" w:eastAsia="方正仿宋_GBK" w:cs="Times New Roman"/>
              </w:rPr>
              <w:t>成员</w:t>
            </w:r>
            <w:r>
              <w:rPr>
                <w:rFonts w:hint="eastAsia" w:ascii="Times New Roman" w:hAnsi="Times New Roman" w:eastAsia="方正仿宋_GBK" w:cs="Times New Roman"/>
              </w:rPr>
              <w:t>的</w:t>
            </w:r>
            <w:r>
              <w:rPr>
                <w:rFonts w:ascii="Times New Roman" w:hAnsi="Times New Roman" w:eastAsia="方正仿宋_GBK" w:cs="Times New Roman"/>
              </w:rPr>
              <w:t>简</w:t>
            </w:r>
            <w:r>
              <w:rPr>
                <w:rFonts w:hint="eastAsia" w:ascii="Times New Roman" w:hAnsi="Times New Roman" w:eastAsia="方正仿宋_GBK" w:cs="Times New Roman"/>
              </w:rPr>
              <w:t>历限1页</w:t>
            </w:r>
            <w:r>
              <w:rPr>
                <w:rFonts w:ascii="Times New Roman" w:hAnsi="Times New Roman" w:eastAsia="方正仿宋_GBK" w:cs="Times New Roman"/>
              </w:rPr>
              <w:t>。</w:t>
            </w:r>
          </w:p>
        </w:tc>
      </w:tr>
      <w:tr w14:paraId="27EC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rPr>
        <w:tc>
          <w:tcPr>
            <w:tcW w:w="1312" w:type="dxa"/>
            <w:vMerge w:val="continue"/>
            <w:tcBorders>
              <w:tl2br w:val="nil"/>
              <w:tr2bl w:val="nil"/>
            </w:tcBorders>
            <w:shd w:val="clear" w:color="auto" w:fill="auto"/>
            <w:tcMar>
              <w:top w:w="150" w:type="dxa"/>
              <w:left w:w="0" w:type="dxa"/>
              <w:bottom w:w="150" w:type="dxa"/>
              <w:right w:w="240" w:type="dxa"/>
            </w:tcMar>
            <w:vAlign w:val="center"/>
          </w:tcPr>
          <w:p w14:paraId="4E2ADD58">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0607E073">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服务内容与量化承诺</w:t>
            </w:r>
          </w:p>
          <w:p w14:paraId="799D84DC">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（12分）</w:t>
            </w:r>
          </w:p>
        </w:tc>
        <w:tc>
          <w:tcPr>
            <w:tcW w:w="7572" w:type="dxa"/>
            <w:tcBorders>
              <w:tl2br w:val="nil"/>
              <w:tr2bl w:val="nil"/>
            </w:tcBorders>
            <w:shd w:val="clear" w:color="auto" w:fill="auto"/>
            <w:tcMar>
              <w:top w:w="150" w:type="dxa"/>
              <w:left w:w="240" w:type="dxa"/>
              <w:bottom w:w="150" w:type="dxa"/>
              <w:right w:w="240" w:type="dxa"/>
            </w:tcMar>
            <w:vAlign w:val="center"/>
          </w:tcPr>
          <w:p w14:paraId="25A4DB4C">
            <w:pPr>
              <w:spacing w:line="280" w:lineRule="exact"/>
              <w:rPr>
                <w:rFonts w:hint="eastAsia" w:ascii="Times New Roman" w:hAnsi="Times New Roman" w:eastAsia="方正仿宋_GBK" w:cs="Times New Roman"/>
              </w:rPr>
            </w:pPr>
            <w:r>
              <w:rPr>
                <w:rFonts w:hint="eastAsia" w:ascii="Times New Roman" w:hAnsi="Times New Roman" w:eastAsia="方正仿宋_GBK" w:cs="Times New Roman"/>
                <w:b/>
                <w:bCs/>
              </w:rPr>
              <w:t>承诺年提供服务内容及工作量，包括：</w:t>
            </w:r>
            <w:r>
              <w:rPr>
                <w:rFonts w:ascii="Times New Roman" w:hAnsi="Times New Roman" w:eastAsia="方正仿宋_GBK" w:cs="Times New Roman"/>
                <w:bCs/>
              </w:rPr>
              <w:t>合同审核</w:t>
            </w:r>
            <w:r>
              <w:rPr>
                <w:rFonts w:ascii="Times New Roman" w:hAnsi="Times New Roman" w:eastAsia="方正仿宋_GBK" w:cs="Times New Roman"/>
              </w:rPr>
              <w:t>并出具格式化审</w:t>
            </w:r>
            <w:r>
              <w:rPr>
                <w:rFonts w:hint="eastAsia" w:ascii="Times New Roman" w:hAnsi="Times New Roman" w:eastAsia="方正仿宋_GBK" w:cs="Times New Roman"/>
              </w:rPr>
              <w:t>核</w:t>
            </w:r>
            <w:r>
              <w:rPr>
                <w:rFonts w:ascii="Times New Roman" w:hAnsi="Times New Roman" w:eastAsia="方正仿宋_GBK" w:cs="Times New Roman"/>
              </w:rPr>
              <w:t>意见</w:t>
            </w:r>
            <w:r>
              <w:rPr>
                <w:rFonts w:hint="eastAsia" w:ascii="Times New Roman" w:hAnsi="Times New Roman" w:eastAsia="方正仿宋_GBK" w:cs="Times New Roman"/>
              </w:rPr>
              <w:t>份数≥1500份，咨询并</w:t>
            </w:r>
            <w:r>
              <w:rPr>
                <w:rFonts w:ascii="Times New Roman" w:hAnsi="Times New Roman" w:eastAsia="方正仿宋_GBK" w:cs="Times New Roman"/>
              </w:rPr>
              <w:t>出具正式</w:t>
            </w:r>
            <w:r>
              <w:rPr>
                <w:rFonts w:hint="eastAsia" w:ascii="Times New Roman" w:hAnsi="Times New Roman" w:eastAsia="方正仿宋_GBK" w:cs="Times New Roman"/>
              </w:rPr>
              <w:t>书面</w:t>
            </w:r>
            <w:r>
              <w:rPr>
                <w:rFonts w:ascii="Times New Roman" w:hAnsi="Times New Roman" w:eastAsia="方正仿宋_GBK" w:cs="Times New Roman"/>
              </w:rPr>
              <w:t>法律意见</w:t>
            </w:r>
            <w:r>
              <w:rPr>
                <w:rFonts w:hint="eastAsia" w:ascii="Times New Roman" w:hAnsi="Times New Roman" w:eastAsia="方正仿宋_GBK" w:cs="Times New Roman"/>
              </w:rPr>
              <w:t>份数≥30份，参与重大项目谈判次数≥30次，完成</w:t>
            </w:r>
            <w:r>
              <w:rPr>
                <w:rFonts w:ascii="Times New Roman" w:hAnsi="Times New Roman" w:eastAsia="方正仿宋_GBK" w:cs="Times New Roman"/>
              </w:rPr>
              <w:t>普法培训</w:t>
            </w:r>
            <w:r>
              <w:rPr>
                <w:rFonts w:hint="eastAsia" w:ascii="Times New Roman" w:hAnsi="Times New Roman" w:eastAsia="方正仿宋_GBK" w:cs="Times New Roman"/>
              </w:rPr>
              <w:t>次数≥2次等。</w:t>
            </w:r>
          </w:p>
          <w:p w14:paraId="1C7D81AE">
            <w:pPr>
              <w:spacing w:line="280" w:lineRule="exact"/>
              <w:rPr>
                <w:rFonts w:ascii="Times New Roman" w:hAnsi="Times New Roman" w:eastAsia="方正仿宋_GBK" w:cs="Times New Roman"/>
              </w:rPr>
            </w:pPr>
            <w:r>
              <w:rPr>
                <w:rFonts w:ascii="Times New Roman" w:hAnsi="Times New Roman" w:eastAsia="方正仿宋_GBK" w:cs="Times New Roman"/>
              </w:rPr>
              <w:t>优秀（</w:t>
            </w:r>
            <w:r>
              <w:rPr>
                <w:rFonts w:hint="eastAsia" w:ascii="Times New Roman" w:hAnsi="Times New Roman" w:eastAsia="方正仿宋_GBK" w:cs="Times New Roman"/>
              </w:rPr>
              <w:t>9-12</w:t>
            </w:r>
            <w:r>
              <w:rPr>
                <w:rFonts w:ascii="Times New Roman" w:hAnsi="Times New Roman" w:eastAsia="方正仿宋_GBK" w:cs="Times New Roman"/>
              </w:rPr>
              <w:t>分）</w:t>
            </w:r>
            <w:r>
              <w:rPr>
                <w:rFonts w:hint="eastAsia" w:ascii="Times New Roman" w:hAnsi="Times New Roman" w:eastAsia="方正仿宋_GBK" w:cs="Times New Roman"/>
              </w:rPr>
              <w:t>：有清晰量化指标并</w:t>
            </w:r>
            <w:r>
              <w:rPr>
                <w:rFonts w:ascii="Times New Roman" w:hAnsi="Times New Roman" w:eastAsia="方正仿宋_GBK" w:cs="Times New Roman"/>
              </w:rPr>
              <w:t>承诺写入合同。 良好</w:t>
            </w:r>
            <w:r>
              <w:rPr>
                <w:rFonts w:hint="eastAsia" w:ascii="Times New Roman" w:hAnsi="Times New Roman" w:eastAsia="方正仿宋_GBK" w:cs="Times New Roman"/>
              </w:rPr>
              <w:t>（5-8</w:t>
            </w:r>
            <w:r>
              <w:rPr>
                <w:rFonts w:ascii="Times New Roman" w:hAnsi="Times New Roman" w:eastAsia="方正仿宋_GBK" w:cs="Times New Roman"/>
              </w:rPr>
              <w:t>分）：有承诺，但</w:t>
            </w:r>
            <w:r>
              <w:rPr>
                <w:rFonts w:hint="eastAsia" w:ascii="Times New Roman" w:hAnsi="Times New Roman" w:eastAsia="方正仿宋_GBK" w:cs="Times New Roman"/>
              </w:rPr>
              <w:t>量化指标较低</w:t>
            </w:r>
            <w:r>
              <w:rPr>
                <w:rFonts w:ascii="Times New Roman" w:hAnsi="Times New Roman" w:eastAsia="方正仿宋_GBK" w:cs="Times New Roman"/>
              </w:rPr>
              <w:t>。 一般（</w:t>
            </w:r>
            <w:r>
              <w:rPr>
                <w:rFonts w:hint="eastAsia" w:ascii="Times New Roman" w:hAnsi="Times New Roman" w:eastAsia="方正仿宋_GBK" w:cs="Times New Roman"/>
              </w:rPr>
              <w:t>1-4</w:t>
            </w:r>
            <w:r>
              <w:rPr>
                <w:rFonts w:ascii="Times New Roman" w:hAnsi="Times New Roman" w:eastAsia="方正仿宋_GBK" w:cs="Times New Roman"/>
              </w:rPr>
              <w:t>分）：仅有承诺，无</w:t>
            </w:r>
            <w:r>
              <w:rPr>
                <w:rFonts w:hint="eastAsia" w:ascii="Times New Roman" w:hAnsi="Times New Roman" w:eastAsia="方正仿宋_GBK" w:cs="Times New Roman"/>
              </w:rPr>
              <w:t>量化指标</w:t>
            </w:r>
            <w:r>
              <w:rPr>
                <w:rFonts w:ascii="Times New Roman" w:hAnsi="Times New Roman" w:eastAsia="方正仿宋_GBK" w:cs="Times New Roman"/>
              </w:rPr>
              <w:t>。不得分（0分）：未承诺。</w:t>
            </w:r>
          </w:p>
        </w:tc>
        <w:tc>
          <w:tcPr>
            <w:tcW w:w="5225" w:type="dxa"/>
            <w:tcBorders>
              <w:tl2br w:val="nil"/>
              <w:tr2bl w:val="nil"/>
            </w:tcBorders>
            <w:shd w:val="clear" w:color="auto" w:fill="auto"/>
            <w:tcMar>
              <w:top w:w="150" w:type="dxa"/>
              <w:left w:w="240" w:type="dxa"/>
              <w:bottom w:w="150" w:type="dxa"/>
              <w:right w:w="240" w:type="dxa"/>
            </w:tcMar>
            <w:vAlign w:val="center"/>
          </w:tcPr>
          <w:p w14:paraId="6D5A15F3">
            <w:pPr>
              <w:rPr>
                <w:rFonts w:ascii="Times New Roman" w:hAnsi="Times New Roman" w:eastAsia="方正仿宋_GBK" w:cs="Times New Roman"/>
              </w:rPr>
            </w:pPr>
            <w:r>
              <w:rPr>
                <w:rFonts w:ascii="Times New Roman" w:hAnsi="Times New Roman" w:eastAsia="方正仿宋_GBK" w:cs="Times New Roman"/>
              </w:rPr>
              <w:t>提供一份清晰的量化服务承诺清单，直接列出年度法律文本审核数量、法律意见书出具数量、参与谈判次数、普法培训场次及主题、日常咨询时长等指标。</w:t>
            </w:r>
          </w:p>
        </w:tc>
      </w:tr>
      <w:tr w14:paraId="627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5" w:hRule="atLeast"/>
        </w:trPr>
        <w:tc>
          <w:tcPr>
            <w:tcW w:w="1312" w:type="dxa"/>
            <w:vMerge w:val="continue"/>
            <w:tcBorders>
              <w:tl2br w:val="nil"/>
              <w:tr2bl w:val="nil"/>
            </w:tcBorders>
            <w:shd w:val="clear" w:color="auto" w:fill="auto"/>
            <w:tcMar>
              <w:top w:w="150" w:type="dxa"/>
              <w:left w:w="0" w:type="dxa"/>
              <w:bottom w:w="150" w:type="dxa"/>
              <w:right w:w="240" w:type="dxa"/>
            </w:tcMar>
            <w:vAlign w:val="center"/>
          </w:tcPr>
          <w:p w14:paraId="276F4155">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5CC7D69D">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服务机制与对接保障</w:t>
            </w:r>
          </w:p>
          <w:p w14:paraId="22928190">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（8分）</w:t>
            </w:r>
          </w:p>
        </w:tc>
        <w:tc>
          <w:tcPr>
            <w:tcW w:w="7572" w:type="dxa"/>
            <w:tcBorders>
              <w:tl2br w:val="nil"/>
              <w:tr2bl w:val="nil"/>
            </w:tcBorders>
            <w:shd w:val="clear" w:color="auto" w:fill="auto"/>
            <w:tcMar>
              <w:top w:w="150" w:type="dxa"/>
              <w:left w:w="240" w:type="dxa"/>
              <w:bottom w:w="150" w:type="dxa"/>
              <w:right w:w="240" w:type="dxa"/>
            </w:tcMar>
            <w:vAlign w:val="center"/>
          </w:tcPr>
          <w:p w14:paraId="23342069">
            <w:pPr>
              <w:spacing w:line="280" w:lineRule="exact"/>
              <w:rPr>
                <w:rFonts w:hint="eastAsia" w:ascii="Times New Roman" w:hAnsi="Times New Roman" w:eastAsia="方正仿宋_GBK" w:cs="Times New Roman"/>
              </w:rPr>
            </w:pPr>
            <w:r>
              <w:rPr>
                <w:rFonts w:ascii="Times New Roman" w:hAnsi="Times New Roman" w:eastAsia="方正仿宋_GBK" w:cs="Times New Roman"/>
                <w:b/>
                <w:bCs/>
              </w:rPr>
              <w:t>资源调配与响应保障（</w:t>
            </w:r>
            <w:r>
              <w:rPr>
                <w:rFonts w:hint="eastAsia" w:ascii="Times New Roman" w:hAnsi="Times New Roman" w:eastAsia="方正仿宋_GBK" w:cs="Times New Roman"/>
                <w:b/>
                <w:bCs/>
              </w:rPr>
              <w:t>4</w:t>
            </w:r>
            <w:r>
              <w:rPr>
                <w:rFonts w:ascii="Times New Roman" w:hAnsi="Times New Roman" w:eastAsia="方正仿宋_GBK" w:cs="Times New Roman"/>
                <w:b/>
                <w:bCs/>
              </w:rPr>
              <w:t>分）：</w:t>
            </w:r>
            <w:r>
              <w:rPr>
                <w:rFonts w:ascii="Times New Roman" w:hAnsi="Times New Roman" w:eastAsia="方正仿宋_GBK" w:cs="Times New Roman"/>
              </w:rPr>
              <w:t>优秀（</w:t>
            </w:r>
            <w:r>
              <w:rPr>
                <w:rFonts w:hint="eastAsia" w:ascii="Times New Roman" w:hAnsi="Times New Roman" w:eastAsia="方正仿宋_GBK" w:cs="Times New Roman"/>
              </w:rPr>
              <w:t>4</w:t>
            </w:r>
            <w:r>
              <w:rPr>
                <w:rFonts w:ascii="Times New Roman" w:hAnsi="Times New Roman" w:eastAsia="方正仿宋_GBK" w:cs="Times New Roman"/>
              </w:rPr>
              <w:t>分）：明确承诺“24小时常规响应，1小时紧急响应”，</w:t>
            </w:r>
            <w:r>
              <w:rPr>
                <w:rFonts w:hint="eastAsia" w:ascii="Times New Roman" w:hAnsi="Times New Roman" w:eastAsia="方正仿宋_GBK" w:cs="Times New Roman"/>
              </w:rPr>
              <w:t>详细描述</w:t>
            </w:r>
            <w:r>
              <w:rPr>
                <w:rFonts w:ascii="Times New Roman" w:hAnsi="Times New Roman" w:eastAsia="方正仿宋_GBK" w:cs="Times New Roman"/>
              </w:rPr>
              <w:t>保障机制</w:t>
            </w:r>
            <w:r>
              <w:rPr>
                <w:rFonts w:hint="eastAsia" w:ascii="Times New Roman" w:hAnsi="Times New Roman" w:eastAsia="方正仿宋_GBK" w:cs="Times New Roman"/>
              </w:rPr>
              <w:t>、设置应急协调人并</w:t>
            </w:r>
            <w:r>
              <w:rPr>
                <w:rFonts w:ascii="Times New Roman" w:hAnsi="Times New Roman" w:eastAsia="方正仿宋_GBK" w:cs="Times New Roman"/>
              </w:rPr>
              <w:t>写入合同。 良好（</w:t>
            </w:r>
            <w:r>
              <w:rPr>
                <w:rFonts w:hint="eastAsia" w:ascii="Times New Roman" w:hAnsi="Times New Roman" w:eastAsia="方正仿宋_GBK" w:cs="Times New Roman"/>
              </w:rPr>
              <w:t>2-3</w:t>
            </w:r>
            <w:r>
              <w:rPr>
                <w:rFonts w:ascii="Times New Roman" w:hAnsi="Times New Roman" w:eastAsia="方正仿宋_GBK" w:cs="Times New Roman"/>
              </w:rPr>
              <w:t>分）：有承诺</w:t>
            </w:r>
            <w:r>
              <w:rPr>
                <w:rFonts w:hint="eastAsia" w:ascii="Times New Roman" w:hAnsi="Times New Roman" w:eastAsia="方正仿宋_GBK" w:cs="Times New Roman"/>
              </w:rPr>
              <w:t>有对接专员</w:t>
            </w:r>
            <w:r>
              <w:rPr>
                <w:rFonts w:ascii="Times New Roman" w:hAnsi="Times New Roman" w:eastAsia="方正仿宋_GBK" w:cs="Times New Roman"/>
              </w:rPr>
              <w:t>，但机制描述笼统。 一般（1分）：仅有承诺</w:t>
            </w:r>
            <w:r>
              <w:rPr>
                <w:rFonts w:hint="eastAsia" w:ascii="Times New Roman" w:hAnsi="Times New Roman" w:eastAsia="方正仿宋_GBK" w:cs="Times New Roman"/>
              </w:rPr>
              <w:t>无专员</w:t>
            </w:r>
            <w:r>
              <w:rPr>
                <w:rFonts w:ascii="Times New Roman" w:hAnsi="Times New Roman" w:eastAsia="方正仿宋_GBK" w:cs="Times New Roman"/>
              </w:rPr>
              <w:t>，无机制。不得分（0分）：未承诺。</w:t>
            </w:r>
          </w:p>
          <w:p w14:paraId="767891B8">
            <w:pPr>
              <w:spacing w:line="280" w:lineRule="exact"/>
              <w:rPr>
                <w:rFonts w:ascii="Times New Roman" w:hAnsi="Times New Roman" w:eastAsia="方正仿宋_GBK" w:cs="Times New Roman"/>
              </w:rPr>
            </w:pPr>
            <w:r>
              <w:rPr>
                <w:rFonts w:ascii="Times New Roman" w:hAnsi="Times New Roman" w:eastAsia="方正仿宋_GBK" w:cs="Times New Roman"/>
                <w:b/>
                <w:bCs/>
              </w:rPr>
              <w:t>• </w:t>
            </w:r>
            <w:r>
              <w:rPr>
                <w:rFonts w:hint="eastAsia" w:ascii="Times New Roman" w:hAnsi="Times New Roman" w:eastAsia="方正仿宋_GBK" w:cs="Times New Roman"/>
                <w:b/>
                <w:bCs/>
              </w:rPr>
              <w:t>定期</w:t>
            </w:r>
            <w:r>
              <w:rPr>
                <w:rFonts w:ascii="Times New Roman" w:hAnsi="Times New Roman" w:eastAsia="方正仿宋_GBK" w:cs="Times New Roman"/>
                <w:b/>
                <w:bCs/>
              </w:rPr>
              <w:t>上门对接与服务</w:t>
            </w:r>
            <w:r>
              <w:rPr>
                <w:rFonts w:hint="eastAsia" w:ascii="Times New Roman" w:hAnsi="Times New Roman" w:eastAsia="方正仿宋_GBK" w:cs="Times New Roman"/>
                <w:b/>
                <w:bCs/>
              </w:rPr>
              <w:t>报告（4</w:t>
            </w:r>
            <w:r>
              <w:rPr>
                <w:rFonts w:ascii="Times New Roman" w:hAnsi="Times New Roman" w:eastAsia="方正仿宋_GBK" w:cs="Times New Roman"/>
                <w:b/>
                <w:bCs/>
              </w:rPr>
              <w:t>分）：</w:t>
            </w:r>
            <w:r>
              <w:rPr>
                <w:rFonts w:ascii="Times New Roman" w:hAnsi="Times New Roman" w:eastAsia="方正仿宋_GBK" w:cs="Times New Roman"/>
              </w:rPr>
              <w:t>优秀（</w:t>
            </w:r>
            <w:r>
              <w:rPr>
                <w:rFonts w:hint="eastAsia" w:ascii="Times New Roman" w:hAnsi="Times New Roman" w:eastAsia="方正仿宋_GBK" w:cs="Times New Roman"/>
              </w:rPr>
              <w:t>4</w:t>
            </w:r>
            <w:r>
              <w:rPr>
                <w:rFonts w:ascii="Times New Roman" w:hAnsi="Times New Roman" w:eastAsia="方正仿宋_GBK" w:cs="Times New Roman"/>
              </w:rPr>
              <w:t>分）：承诺每周上门对接1次并</w:t>
            </w:r>
            <w:r>
              <w:rPr>
                <w:rFonts w:hint="eastAsia" w:ascii="Times New Roman" w:hAnsi="Times New Roman" w:eastAsia="方正仿宋_GBK" w:cs="Times New Roman"/>
              </w:rPr>
              <w:t>定期</w:t>
            </w:r>
            <w:r>
              <w:rPr>
                <w:rFonts w:ascii="Times New Roman" w:hAnsi="Times New Roman" w:eastAsia="方正仿宋_GBK" w:cs="Times New Roman"/>
              </w:rPr>
              <w:t>提交规范服务</w:t>
            </w:r>
            <w:r>
              <w:rPr>
                <w:rFonts w:hint="eastAsia" w:ascii="Times New Roman" w:hAnsi="Times New Roman" w:eastAsia="方正仿宋_GBK" w:cs="Times New Roman"/>
              </w:rPr>
              <w:t>报告</w:t>
            </w:r>
            <w:r>
              <w:rPr>
                <w:rFonts w:ascii="Times New Roman" w:hAnsi="Times New Roman" w:eastAsia="方正仿宋_GBK" w:cs="Times New Roman"/>
              </w:rPr>
              <w:t>。</w:t>
            </w:r>
            <w:r>
              <w:rPr>
                <w:rFonts w:hint="eastAsia" w:ascii="Times New Roman" w:hAnsi="Times New Roman" w:eastAsia="方正仿宋_GBK" w:cs="Times New Roman"/>
              </w:rPr>
              <w:t>良好（2-3分）：有</w:t>
            </w:r>
            <w:r>
              <w:rPr>
                <w:rFonts w:ascii="Times New Roman" w:hAnsi="Times New Roman" w:eastAsia="方正仿宋_GBK" w:cs="Times New Roman"/>
              </w:rPr>
              <w:t>承诺</w:t>
            </w:r>
            <w:r>
              <w:rPr>
                <w:rFonts w:hint="eastAsia" w:ascii="Times New Roman" w:hAnsi="Times New Roman" w:eastAsia="方正仿宋_GBK" w:cs="Times New Roman"/>
              </w:rPr>
              <w:t>但上门频率、报告完整性有所降低</w:t>
            </w:r>
            <w:r>
              <w:rPr>
                <w:rFonts w:ascii="Times New Roman" w:hAnsi="Times New Roman" w:eastAsia="方正仿宋_GBK" w:cs="Times New Roman"/>
              </w:rPr>
              <w:t>。</w:t>
            </w:r>
            <w:r>
              <w:rPr>
                <w:rFonts w:hint="eastAsia" w:ascii="Times New Roman" w:hAnsi="Times New Roman" w:eastAsia="方正仿宋_GBK" w:cs="Times New Roman"/>
              </w:rPr>
              <w:t>一般</w:t>
            </w:r>
            <w:r>
              <w:rPr>
                <w:rFonts w:ascii="Times New Roman" w:hAnsi="Times New Roman" w:eastAsia="方正仿宋_GBK" w:cs="Times New Roman"/>
              </w:rPr>
              <w:t>（</w:t>
            </w:r>
            <w:r>
              <w:rPr>
                <w:rFonts w:hint="eastAsia" w:ascii="Times New Roman" w:hAnsi="Times New Roman" w:eastAsia="方正仿宋_GBK" w:cs="Times New Roman"/>
              </w:rPr>
              <w:t>1</w:t>
            </w:r>
            <w:r>
              <w:rPr>
                <w:rFonts w:ascii="Times New Roman" w:hAnsi="Times New Roman" w:eastAsia="方正仿宋_GBK" w:cs="Times New Roman"/>
              </w:rPr>
              <w:t>分）：</w:t>
            </w:r>
            <w:r>
              <w:rPr>
                <w:rFonts w:hint="eastAsia" w:ascii="Times New Roman" w:hAnsi="Times New Roman" w:eastAsia="方正仿宋_GBK" w:cs="Times New Roman"/>
              </w:rPr>
              <w:t>有承诺但上门频率、报告内容均不明确。</w:t>
            </w:r>
            <w:r>
              <w:rPr>
                <w:rFonts w:ascii="Times New Roman" w:hAnsi="Times New Roman" w:eastAsia="方正仿宋_GBK" w:cs="Times New Roman"/>
              </w:rPr>
              <w:t>不得分（0分）：未承诺。</w:t>
            </w:r>
          </w:p>
        </w:tc>
        <w:tc>
          <w:tcPr>
            <w:tcW w:w="5225" w:type="dxa"/>
            <w:tcBorders>
              <w:tl2br w:val="nil"/>
              <w:tr2bl w:val="nil"/>
            </w:tcBorders>
            <w:shd w:val="clear" w:color="auto" w:fill="auto"/>
            <w:tcMar>
              <w:top w:w="150" w:type="dxa"/>
              <w:left w:w="240" w:type="dxa"/>
              <w:bottom w:w="150" w:type="dxa"/>
              <w:right w:w="240" w:type="dxa"/>
            </w:tcMar>
            <w:vAlign w:val="center"/>
          </w:tcPr>
          <w:p w14:paraId="5A582E9A">
            <w:pPr>
              <w:rPr>
                <w:rFonts w:ascii="Times New Roman" w:hAnsi="Times New Roman" w:eastAsia="方正仿宋_GBK" w:cs="Times New Roman"/>
              </w:rPr>
            </w:pPr>
            <w:r>
              <w:rPr>
                <w:rFonts w:ascii="Times New Roman" w:hAnsi="Times New Roman" w:eastAsia="方正仿宋_GBK" w:cs="Times New Roman"/>
              </w:rPr>
              <w:t>提供关于上门对接频率、服务日志提交、月度报告机制、应急协调人设置的书面承诺及具体方案要点</w:t>
            </w:r>
            <w:r>
              <w:rPr>
                <w:rFonts w:hint="eastAsia" w:ascii="Times New Roman" w:hAnsi="Times New Roman" w:eastAsia="方正仿宋_GBK" w:cs="Times New Roman"/>
              </w:rPr>
              <w:t>。</w:t>
            </w:r>
          </w:p>
        </w:tc>
      </w:tr>
      <w:tr w14:paraId="6E3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2" w:type="dxa"/>
            <w:vMerge w:val="continue"/>
            <w:tcBorders>
              <w:tl2br w:val="nil"/>
              <w:tr2bl w:val="nil"/>
            </w:tcBorders>
            <w:shd w:val="clear" w:color="auto" w:fill="auto"/>
            <w:tcMar>
              <w:top w:w="150" w:type="dxa"/>
              <w:left w:w="0" w:type="dxa"/>
              <w:bottom w:w="150" w:type="dxa"/>
              <w:right w:w="240" w:type="dxa"/>
            </w:tcMar>
            <w:vAlign w:val="center"/>
          </w:tcPr>
          <w:p w14:paraId="3D4F4E19">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7848C390">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行业理解与解决方案</w:t>
            </w:r>
          </w:p>
          <w:p w14:paraId="20F0525C">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（6分）</w:t>
            </w:r>
          </w:p>
        </w:tc>
        <w:tc>
          <w:tcPr>
            <w:tcW w:w="7572" w:type="dxa"/>
            <w:tcBorders>
              <w:tl2br w:val="nil"/>
              <w:tr2bl w:val="nil"/>
            </w:tcBorders>
            <w:shd w:val="clear" w:color="auto" w:fill="auto"/>
            <w:tcMar>
              <w:top w:w="150" w:type="dxa"/>
              <w:left w:w="240" w:type="dxa"/>
              <w:bottom w:w="150" w:type="dxa"/>
              <w:right w:w="240" w:type="dxa"/>
            </w:tcMar>
            <w:vAlign w:val="center"/>
          </w:tcPr>
          <w:p w14:paraId="1B891424">
            <w:pPr>
              <w:pStyle w:val="6"/>
              <w:spacing w:line="280" w:lineRule="exact"/>
            </w:pPr>
            <w:r>
              <w:rPr>
                <w:b/>
                <w:bCs/>
              </w:rPr>
              <w:t>• </w:t>
            </w:r>
            <w:r>
              <w:rPr>
                <w:rFonts w:hint="eastAsia" w:ascii="方正仿宋_GBK" w:eastAsia="方正仿宋_GBK"/>
                <w:b/>
                <w:bCs/>
                <w:sz w:val="21"/>
                <w:szCs w:val="21"/>
              </w:rPr>
              <w:t>行业风控方案深度（4分）：</w:t>
            </w:r>
            <w:r>
              <w:rPr>
                <w:rFonts w:hint="eastAsia" w:ascii="方正仿宋_GBK" w:eastAsia="方正仿宋_GBK"/>
                <w:bCs/>
                <w:sz w:val="21"/>
                <w:szCs w:val="21"/>
              </w:rPr>
              <w:t>优秀（4分）：</w:t>
            </w:r>
            <w:r>
              <w:rPr>
                <w:rFonts w:hint="eastAsia" w:ascii="方正仿宋_GBK" w:eastAsia="方正仿宋_GBK"/>
                <w:sz w:val="21"/>
                <w:szCs w:val="21"/>
              </w:rPr>
              <w:t>针对广电传媒行业特定法律风险提出具体、可操作的风控流程或预案。良好（2-3分）：能识别风险并提出一般性建议。一般（1分）：仅泛泛而谈，无具体方案。不得分（0分）：未涉及。</w:t>
            </w:r>
          </w:p>
          <w:p w14:paraId="443AF1D3">
            <w:pPr>
              <w:spacing w:line="280" w:lineRule="exact"/>
              <w:rPr>
                <w:rFonts w:ascii="Times New Roman" w:hAnsi="Times New Roman" w:eastAsia="方正仿宋_GBK" w:cs="Times New Roman"/>
              </w:rPr>
            </w:pPr>
            <w:r>
              <w:rPr>
                <w:rFonts w:ascii="Times New Roman" w:hAnsi="Times New Roman" w:eastAsia="方正仿宋_GBK" w:cs="Times New Roman"/>
                <w:b/>
                <w:bCs/>
              </w:rPr>
              <w:t>• 方案前瞻性与系统性（2分）：</w:t>
            </w:r>
            <w:r>
              <w:rPr>
                <w:rFonts w:ascii="Times New Roman" w:hAnsi="Times New Roman" w:eastAsia="方正仿宋_GBK" w:cs="Times New Roman"/>
              </w:rPr>
              <w:t>优秀（2分）：方案体现对监管趋势的前瞻判断，且逻辑严密、系统性强。一般（1分）：方案较为零散。 不得分（0分）：方案不完整或混乱。</w:t>
            </w:r>
          </w:p>
        </w:tc>
        <w:tc>
          <w:tcPr>
            <w:tcW w:w="5225" w:type="dxa"/>
            <w:tcBorders>
              <w:tl2br w:val="nil"/>
              <w:tr2bl w:val="nil"/>
            </w:tcBorders>
            <w:shd w:val="clear" w:color="auto" w:fill="auto"/>
            <w:tcMar>
              <w:top w:w="150" w:type="dxa"/>
              <w:left w:w="240" w:type="dxa"/>
              <w:bottom w:w="150" w:type="dxa"/>
              <w:right w:w="240" w:type="dxa"/>
            </w:tcMar>
            <w:vAlign w:val="center"/>
          </w:tcPr>
          <w:p w14:paraId="66FC2234">
            <w:pPr>
              <w:rPr>
                <w:rFonts w:ascii="Times New Roman" w:hAnsi="Times New Roman" w:eastAsia="方正仿宋_GBK" w:cs="Times New Roman"/>
              </w:rPr>
            </w:pPr>
            <w:r>
              <w:rPr>
                <w:rFonts w:hint="eastAsia" w:ascii="Times New Roman" w:hAnsi="Times New Roman" w:eastAsia="方正仿宋_GBK" w:cs="Times New Roman"/>
              </w:rPr>
              <w:t>提供的风险分析与防控</w:t>
            </w:r>
            <w:r>
              <w:rPr>
                <w:rFonts w:ascii="Times New Roman" w:hAnsi="Times New Roman" w:eastAsia="方正仿宋_GBK" w:cs="Times New Roman"/>
              </w:rPr>
              <w:t>方案应具体、可落地，重点阐述核心风险点及对应的防控流程/预案</w:t>
            </w:r>
            <w:r>
              <w:rPr>
                <w:rFonts w:hint="eastAsia" w:ascii="Times New Roman" w:hAnsi="Times New Roman" w:eastAsia="方正仿宋_GBK" w:cs="Times New Roman"/>
              </w:rPr>
              <w:t>。</w:t>
            </w:r>
          </w:p>
        </w:tc>
      </w:tr>
      <w:tr w14:paraId="6C3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 w:hRule="atLeast"/>
        </w:trPr>
        <w:tc>
          <w:tcPr>
            <w:tcW w:w="1312" w:type="dxa"/>
            <w:vMerge w:val="continue"/>
            <w:tcBorders>
              <w:tl2br w:val="nil"/>
              <w:tr2bl w:val="nil"/>
            </w:tcBorders>
            <w:shd w:val="clear" w:color="auto" w:fill="auto"/>
            <w:tcMar>
              <w:top w:w="150" w:type="dxa"/>
              <w:left w:w="0" w:type="dxa"/>
              <w:bottom w:w="150" w:type="dxa"/>
              <w:right w:w="240" w:type="dxa"/>
            </w:tcMar>
            <w:vAlign w:val="center"/>
          </w:tcPr>
          <w:p w14:paraId="1FC26EBD">
            <w:pPr>
              <w:spacing w:line="280" w:lineRule="exact"/>
              <w:jc w:val="center"/>
              <w:rPr>
                <w:rFonts w:ascii="Times New Roman" w:hAnsi="Times New Roman" w:eastAsia="方正黑体简体" w:cs="Times New Roman"/>
              </w:rPr>
            </w:pPr>
          </w:p>
        </w:tc>
        <w:tc>
          <w:tcPr>
            <w:tcW w:w="1391" w:type="dxa"/>
            <w:tcBorders>
              <w:tl2br w:val="nil"/>
              <w:tr2bl w:val="nil"/>
            </w:tcBorders>
            <w:shd w:val="clear" w:color="auto" w:fill="auto"/>
            <w:tcMar>
              <w:top w:w="150" w:type="dxa"/>
              <w:left w:w="240" w:type="dxa"/>
              <w:bottom w:w="150" w:type="dxa"/>
              <w:right w:w="240" w:type="dxa"/>
            </w:tcMar>
            <w:vAlign w:val="center"/>
          </w:tcPr>
          <w:p w14:paraId="387FDB32">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增值服务与优惠方案</w:t>
            </w:r>
          </w:p>
          <w:p w14:paraId="626D15F3">
            <w:pPr>
              <w:spacing w:line="280" w:lineRule="exact"/>
              <w:jc w:val="center"/>
              <w:rPr>
                <w:rFonts w:ascii="Times New Roman" w:hAnsi="Times New Roman" w:eastAsia="方正黑体简体" w:cs="Times New Roman"/>
              </w:rPr>
            </w:pPr>
            <w:r>
              <w:rPr>
                <w:rFonts w:ascii="Times New Roman" w:hAnsi="Times New Roman" w:eastAsia="方正黑体简体" w:cs="Times New Roman"/>
              </w:rPr>
              <w:t>（4分）</w:t>
            </w:r>
          </w:p>
        </w:tc>
        <w:tc>
          <w:tcPr>
            <w:tcW w:w="7572" w:type="dxa"/>
            <w:tcBorders>
              <w:tl2br w:val="nil"/>
              <w:tr2bl w:val="nil"/>
            </w:tcBorders>
            <w:shd w:val="clear" w:color="auto" w:fill="auto"/>
            <w:tcMar>
              <w:top w:w="150" w:type="dxa"/>
              <w:left w:w="240" w:type="dxa"/>
              <w:bottom w:w="150" w:type="dxa"/>
              <w:right w:w="240" w:type="dxa"/>
            </w:tcMar>
            <w:vAlign w:val="center"/>
          </w:tcPr>
          <w:p w14:paraId="759E2522">
            <w:pPr>
              <w:spacing w:line="280" w:lineRule="exact"/>
              <w:rPr>
                <w:rFonts w:ascii="Times New Roman" w:hAnsi="Times New Roman" w:eastAsia="方正仿宋_GBK" w:cs="Times New Roman"/>
              </w:rPr>
            </w:pPr>
            <w:r>
              <w:rPr>
                <w:rFonts w:ascii="Times New Roman" w:hAnsi="Times New Roman" w:eastAsia="方正仿宋_GBK" w:cs="Times New Roman"/>
                <w:b/>
                <w:bCs/>
              </w:rPr>
              <w:t>• 批量案件打包价（2分）：</w:t>
            </w:r>
            <w:r>
              <w:rPr>
                <w:rFonts w:ascii="Times New Roman" w:hAnsi="Times New Roman" w:eastAsia="方正仿宋_GBK" w:cs="Times New Roman"/>
              </w:rPr>
              <w:t> 优秀（2分）：对批量化/小额度案件提供明确、合理的打包计价方案。一般（1分）：仅表示可协商，无明确方案。 不得分（0分）：未提供。</w:t>
            </w:r>
          </w:p>
          <w:p w14:paraId="4B9AE04E">
            <w:pPr>
              <w:spacing w:line="280" w:lineRule="exact"/>
              <w:rPr>
                <w:rFonts w:ascii="Times New Roman" w:hAnsi="Times New Roman" w:eastAsia="方正仿宋_GBK" w:cs="Times New Roman"/>
              </w:rPr>
            </w:pPr>
            <w:r>
              <w:rPr>
                <w:rFonts w:ascii="Times New Roman" w:hAnsi="Times New Roman" w:eastAsia="方正仿宋_GBK" w:cs="Times New Roman"/>
                <w:b/>
                <w:bCs/>
              </w:rPr>
              <w:t>• 专项服务折扣与承诺（2分）：</w:t>
            </w:r>
            <w:r>
              <w:rPr>
                <w:rFonts w:ascii="Times New Roman" w:hAnsi="Times New Roman" w:eastAsia="方正仿宋_GBK" w:cs="Times New Roman"/>
              </w:rPr>
              <w:t> 优秀（2分）：对诉讼/专项服务提供明确且有竞争力的折扣，并书面承诺“不因费率优惠而降低服务品质”。 一般（1分）：有折扣但竞争力一般。 不得分（0分）：未提供。</w:t>
            </w:r>
          </w:p>
        </w:tc>
        <w:tc>
          <w:tcPr>
            <w:tcW w:w="5225" w:type="dxa"/>
            <w:tcBorders>
              <w:tl2br w:val="nil"/>
              <w:tr2bl w:val="nil"/>
            </w:tcBorders>
            <w:shd w:val="clear" w:color="auto" w:fill="auto"/>
            <w:tcMar>
              <w:top w:w="150" w:type="dxa"/>
              <w:left w:w="240" w:type="dxa"/>
              <w:bottom w:w="150" w:type="dxa"/>
              <w:right w:w="240" w:type="dxa"/>
            </w:tcMar>
            <w:vAlign w:val="center"/>
          </w:tcPr>
          <w:p w14:paraId="652D8A22">
            <w:pPr>
              <w:rPr>
                <w:rFonts w:ascii="Times New Roman" w:hAnsi="Times New Roman" w:eastAsia="方正仿宋_GBK" w:cs="Times New Roman"/>
              </w:rPr>
            </w:pPr>
            <w:r>
              <w:rPr>
                <w:rFonts w:ascii="Times New Roman" w:hAnsi="Times New Roman" w:eastAsia="方正仿宋_GBK" w:cs="Times New Roman"/>
              </w:rPr>
              <w:t>提供针对批量案件、专项服务的明确打包计价方案或折扣方案</w:t>
            </w:r>
            <w:r>
              <w:rPr>
                <w:rFonts w:hint="eastAsia" w:ascii="Times New Roman" w:hAnsi="Times New Roman" w:eastAsia="方正仿宋_GBK" w:cs="Times New Roman"/>
              </w:rPr>
              <w:t>。</w:t>
            </w:r>
          </w:p>
        </w:tc>
      </w:tr>
    </w:tbl>
    <w:p w14:paraId="476728F2">
      <w:pPr>
        <w:pStyle w:val="2"/>
        <w:ind w:left="0" w:leftChars="0" w:firstLine="0" w:firstLineChars="0"/>
        <w:sectPr>
          <w:pgSz w:w="16838" w:h="11906" w:orient="landscape"/>
          <w:pgMar w:top="1800" w:right="1440" w:bottom="1800" w:left="1440" w:header="851" w:footer="992" w:gutter="0"/>
          <w:cols w:space="425" w:num="1"/>
          <w:docGrid w:type="lines" w:linePitch="312" w:charSpace="0"/>
        </w:sectPr>
      </w:pPr>
    </w:p>
    <w:p w14:paraId="6E67BEBA">
      <w:pPr>
        <w:spacing w:line="520" w:lineRule="exact"/>
        <w:ind w:firstLine="600" w:firstLineChars="200"/>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三、中选候选人</w:t>
      </w:r>
    </w:p>
    <w:p w14:paraId="10AE19C8">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（一）</w:t>
      </w:r>
      <w:r>
        <w:rPr>
          <w:rFonts w:ascii="Times New Roman" w:hAnsi="Times New Roman" w:eastAsia="方正仿宋_GBK" w:cs="Times New Roman"/>
          <w:sz w:val="30"/>
          <w:szCs w:val="30"/>
        </w:rPr>
        <w:t>比选评议小组成员根据评议规则各自打分。根据各参选人的综合得分结果，比选评议小组推荐得分排名前</w:t>
      </w:r>
      <w:r>
        <w:rPr>
          <w:rFonts w:hint="eastAsia" w:ascii="Times New Roman" w:hAnsi="Times New Roman" w:eastAsia="方正仿宋_GBK" w:cs="Times New Roman"/>
          <w:sz w:val="30"/>
          <w:szCs w:val="30"/>
        </w:rPr>
        <w:t>八</w:t>
      </w:r>
      <w:r>
        <w:rPr>
          <w:rFonts w:ascii="Times New Roman" w:hAnsi="Times New Roman" w:eastAsia="方正仿宋_GBK" w:cs="Times New Roman"/>
          <w:sz w:val="30"/>
          <w:szCs w:val="30"/>
        </w:rPr>
        <w:t>位作为中选候选人，并公示结果。</w:t>
      </w:r>
    </w:p>
    <w:p w14:paraId="14ED49FA">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（二）</w:t>
      </w:r>
      <w:r>
        <w:rPr>
          <w:rFonts w:ascii="Times New Roman" w:hAnsi="Times New Roman" w:eastAsia="方正仿宋_GBK" w:cs="Times New Roman"/>
          <w:sz w:val="30"/>
          <w:szCs w:val="30"/>
        </w:rPr>
        <w:t>采购人根据比选评议小组的推荐及在公示无异议的基础上，依据公平、公正原则，确定中选候选人前五位为中选人，并以中选通知书的形式通知中选人。</w:t>
      </w:r>
    </w:p>
    <w:p w14:paraId="49956688">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如中选人放弃中选，或因其他原因不符合中选条件的，采购人则按照经公示的中选候选人名单，依次确定其他候选人为中选人。</w:t>
      </w:r>
    </w:p>
    <w:p w14:paraId="0AFB2E04">
      <w:pPr>
        <w:spacing w:line="520" w:lineRule="exact"/>
        <w:jc w:val="center"/>
        <w:rPr>
          <w:rFonts w:ascii="方正黑体简体" w:hAnsi="方正黑体简体" w:eastAsia="方正黑体简体" w:cs="方正黑体简体"/>
          <w:sz w:val="30"/>
          <w:szCs w:val="30"/>
        </w:rPr>
      </w:pPr>
    </w:p>
    <w:p w14:paraId="3ADBD7DE">
      <w:pPr>
        <w:spacing w:line="520" w:lineRule="exact"/>
        <w:jc w:val="center"/>
        <w:rPr>
          <w:rFonts w:ascii="方正黑体简体" w:hAnsi="方正黑体简体" w:eastAsia="方正黑体简体" w:cs="方正黑体简体"/>
          <w:sz w:val="30"/>
          <w:szCs w:val="30"/>
        </w:rPr>
      </w:pPr>
    </w:p>
    <w:p w14:paraId="701F46E8">
      <w:pPr>
        <w:spacing w:line="520" w:lineRule="exact"/>
        <w:jc w:val="center"/>
        <w:rPr>
          <w:rFonts w:ascii="方正黑体简体" w:hAnsi="方正黑体简体" w:eastAsia="方正黑体简体" w:cs="方正黑体简体"/>
          <w:sz w:val="30"/>
          <w:szCs w:val="30"/>
        </w:rPr>
      </w:pPr>
    </w:p>
    <w:p w14:paraId="03ECAFD6">
      <w:pPr>
        <w:spacing w:line="520" w:lineRule="exact"/>
        <w:jc w:val="center"/>
        <w:rPr>
          <w:rFonts w:ascii="方正黑体简体" w:hAnsi="方正黑体简体" w:eastAsia="方正黑体简体" w:cs="方正黑体简体"/>
          <w:sz w:val="30"/>
          <w:szCs w:val="30"/>
        </w:rPr>
      </w:pPr>
    </w:p>
    <w:p w14:paraId="5827A117">
      <w:pPr>
        <w:spacing w:line="520" w:lineRule="exact"/>
        <w:jc w:val="center"/>
        <w:rPr>
          <w:rFonts w:ascii="方正黑体简体" w:hAnsi="方正黑体简体" w:eastAsia="方正黑体简体" w:cs="方正黑体简体"/>
          <w:sz w:val="30"/>
          <w:szCs w:val="30"/>
        </w:rPr>
      </w:pPr>
    </w:p>
    <w:p w14:paraId="7B10B3E5">
      <w:pPr>
        <w:spacing w:line="520" w:lineRule="exact"/>
        <w:jc w:val="center"/>
        <w:rPr>
          <w:rFonts w:ascii="方正黑体简体" w:hAnsi="方正黑体简体" w:eastAsia="方正黑体简体" w:cs="方正黑体简体"/>
          <w:sz w:val="30"/>
          <w:szCs w:val="30"/>
        </w:rPr>
      </w:pPr>
    </w:p>
    <w:p w14:paraId="76FC1460">
      <w:pPr>
        <w:spacing w:line="520" w:lineRule="exact"/>
        <w:jc w:val="center"/>
        <w:rPr>
          <w:rFonts w:ascii="方正黑体简体" w:hAnsi="方正黑体简体" w:eastAsia="方正黑体简体" w:cs="方正黑体简体"/>
          <w:sz w:val="30"/>
          <w:szCs w:val="30"/>
        </w:rPr>
      </w:pPr>
    </w:p>
    <w:p w14:paraId="28A10997">
      <w:pPr>
        <w:spacing w:line="520" w:lineRule="exact"/>
        <w:jc w:val="center"/>
        <w:rPr>
          <w:rFonts w:ascii="方正黑体简体" w:hAnsi="方正黑体简体" w:eastAsia="方正黑体简体" w:cs="方正黑体简体"/>
          <w:sz w:val="30"/>
          <w:szCs w:val="30"/>
        </w:rPr>
      </w:pPr>
    </w:p>
    <w:p w14:paraId="5CF3A539">
      <w:pPr>
        <w:spacing w:line="520" w:lineRule="exact"/>
        <w:jc w:val="center"/>
        <w:rPr>
          <w:rFonts w:ascii="方正黑体简体" w:hAnsi="方正黑体简体" w:eastAsia="方正黑体简体" w:cs="方正黑体简体"/>
          <w:sz w:val="30"/>
          <w:szCs w:val="30"/>
        </w:rPr>
      </w:pPr>
    </w:p>
    <w:p w14:paraId="00D6D61D">
      <w:pPr>
        <w:spacing w:line="520" w:lineRule="exact"/>
        <w:jc w:val="center"/>
        <w:rPr>
          <w:rFonts w:ascii="方正黑体简体" w:hAnsi="方正黑体简体" w:eastAsia="方正黑体简体" w:cs="方正黑体简体"/>
          <w:sz w:val="30"/>
          <w:szCs w:val="30"/>
        </w:rPr>
      </w:pPr>
    </w:p>
    <w:p w14:paraId="6D90B98F">
      <w:pPr>
        <w:spacing w:line="520" w:lineRule="exact"/>
        <w:jc w:val="center"/>
        <w:rPr>
          <w:rFonts w:ascii="方正黑体简体" w:hAnsi="方正黑体简体" w:eastAsia="方正黑体简体" w:cs="方正黑体简体"/>
          <w:sz w:val="30"/>
          <w:szCs w:val="30"/>
        </w:rPr>
      </w:pPr>
    </w:p>
    <w:p w14:paraId="25B41A3C">
      <w:pPr>
        <w:spacing w:line="520" w:lineRule="exact"/>
        <w:jc w:val="center"/>
        <w:rPr>
          <w:rFonts w:ascii="方正黑体简体" w:hAnsi="方正黑体简体" w:eastAsia="方正黑体简体" w:cs="方正黑体简体"/>
          <w:sz w:val="30"/>
          <w:szCs w:val="30"/>
        </w:rPr>
      </w:pPr>
    </w:p>
    <w:p w14:paraId="134E7E70">
      <w:pPr>
        <w:spacing w:line="520" w:lineRule="exact"/>
        <w:jc w:val="center"/>
        <w:rPr>
          <w:rFonts w:ascii="方正黑体简体" w:hAnsi="方正黑体简体" w:eastAsia="方正黑体简体" w:cs="方正黑体简体"/>
          <w:sz w:val="30"/>
          <w:szCs w:val="30"/>
        </w:rPr>
      </w:pPr>
    </w:p>
    <w:p w14:paraId="7441A4EA">
      <w:pPr>
        <w:spacing w:line="520" w:lineRule="exact"/>
        <w:jc w:val="center"/>
        <w:rPr>
          <w:rFonts w:ascii="方正黑体简体" w:hAnsi="方正黑体简体" w:eastAsia="方正黑体简体" w:cs="方正黑体简体"/>
          <w:sz w:val="30"/>
          <w:szCs w:val="30"/>
        </w:rPr>
      </w:pPr>
    </w:p>
    <w:p w14:paraId="25D761E9">
      <w:pPr>
        <w:spacing w:line="520" w:lineRule="exact"/>
        <w:jc w:val="center"/>
        <w:rPr>
          <w:rFonts w:hint="eastAsia" w:ascii="方正黑体简体" w:hAnsi="方正黑体简体" w:eastAsia="方正黑体简体" w:cs="方正黑体简体"/>
          <w:sz w:val="30"/>
          <w:szCs w:val="30"/>
        </w:rPr>
      </w:pPr>
    </w:p>
    <w:p w14:paraId="13D39BDC">
      <w:pPr>
        <w:widowControl/>
        <w:jc w:val="left"/>
      </w:pPr>
      <w:r>
        <w:br w:type="page"/>
      </w:r>
    </w:p>
    <w:p w14:paraId="5C35F598">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第四章 参选文件格式范例</w:t>
      </w:r>
    </w:p>
    <w:p w14:paraId="4CBDA1E9">
      <w:pPr>
        <w:spacing w:line="516" w:lineRule="exact"/>
        <w:jc w:val="center"/>
        <w:rPr>
          <w:rFonts w:ascii="方正小标宋_GBK" w:hAnsi="方正小标宋_GBK" w:eastAsia="方正小标宋_GBK" w:cs="方正小标宋_GBK"/>
          <w:sz w:val="44"/>
          <w:szCs w:val="44"/>
        </w:rPr>
      </w:pPr>
    </w:p>
    <w:p w14:paraId="2A8E7291">
      <w:pPr>
        <w:spacing w:line="520" w:lineRule="exact"/>
        <w:jc w:val="center"/>
        <w:rPr>
          <w:rFonts w:ascii="方正黑体简体" w:hAnsi="方正黑体简体" w:eastAsia="方正黑体简体" w:cs="方正黑体简体"/>
          <w:sz w:val="44"/>
          <w:szCs w:val="44"/>
        </w:rPr>
      </w:pPr>
      <w:r>
        <w:rPr>
          <w:rFonts w:hint="eastAsia" w:ascii="方正黑体简体" w:hAnsi="方正黑体简体" w:eastAsia="方正黑体简体" w:cs="方正黑体简体"/>
          <w:sz w:val="44"/>
          <w:szCs w:val="44"/>
        </w:rPr>
        <w:t>一、报名信息表</w:t>
      </w:r>
    </w:p>
    <w:p w14:paraId="143DFFF0">
      <w:pPr>
        <w:spacing w:line="516" w:lineRule="exact"/>
        <w:jc w:val="center"/>
        <w:rPr>
          <w:rFonts w:ascii="方正小标宋_GBK" w:hAnsi="方正小标宋_GBK" w:eastAsia="方正小标宋_GBK" w:cs="方正小标宋_GBK"/>
          <w:sz w:val="44"/>
          <w:szCs w:val="44"/>
        </w:rPr>
      </w:pPr>
    </w:p>
    <w:tbl>
      <w:tblPr>
        <w:tblStyle w:val="7"/>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48"/>
        <w:gridCol w:w="6349"/>
      </w:tblGrid>
      <w:tr w14:paraId="12F7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2" w:hRule="atLeast"/>
        </w:trPr>
        <w:tc>
          <w:tcPr>
            <w:tcW w:w="1948" w:type="dxa"/>
            <w:tcBorders>
              <w:tl2br w:val="nil"/>
              <w:tr2bl w:val="nil"/>
            </w:tcBorders>
            <w:shd w:val="clear" w:color="auto" w:fill="auto"/>
            <w:tcMar>
              <w:top w:w="150" w:type="dxa"/>
              <w:left w:w="0" w:type="dxa"/>
              <w:bottom w:w="150" w:type="dxa"/>
              <w:right w:w="240" w:type="dxa"/>
            </w:tcMar>
            <w:vAlign w:val="center"/>
          </w:tcPr>
          <w:p w14:paraId="58D15E63">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项目名称</w:t>
            </w:r>
          </w:p>
        </w:tc>
        <w:tc>
          <w:tcPr>
            <w:tcW w:w="6349" w:type="dxa"/>
            <w:tcBorders>
              <w:tl2br w:val="nil"/>
              <w:tr2bl w:val="nil"/>
            </w:tcBorders>
            <w:shd w:val="clear" w:color="auto" w:fill="auto"/>
            <w:tcMar>
              <w:top w:w="150" w:type="dxa"/>
              <w:left w:w="240" w:type="dxa"/>
              <w:bottom w:w="150" w:type="dxa"/>
              <w:right w:w="240" w:type="dxa"/>
            </w:tcMar>
            <w:vAlign w:val="center"/>
          </w:tcPr>
          <w:p w14:paraId="22BCF467">
            <w:pPr>
              <w:spacing w:line="516" w:lineRule="exact"/>
              <w:jc w:val="center"/>
              <w:rPr>
                <w:rFonts w:ascii="Times New Roman" w:hAnsi="Times New Roman" w:eastAsia="方正仿宋_GBK" w:cs="Times New Roman"/>
                <w:sz w:val="30"/>
                <w:szCs w:val="30"/>
              </w:rPr>
            </w:pPr>
            <w:r>
              <w:rPr>
                <w:rFonts w:ascii="Times New Roman" w:hAnsi="Times New Roman" w:eastAsia="方正黑体简体" w:cs="Times New Roman"/>
                <w:sz w:val="30"/>
                <w:szCs w:val="30"/>
              </w:rPr>
              <w:t>重庆广播电视集团（总台）2026年度常年法律顾问整体服务采购项目</w:t>
            </w:r>
          </w:p>
        </w:tc>
      </w:tr>
      <w:tr w14:paraId="21C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2C07FE29">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律师事务所名称</w:t>
            </w:r>
          </w:p>
        </w:tc>
        <w:tc>
          <w:tcPr>
            <w:tcW w:w="6349" w:type="dxa"/>
            <w:tcBorders>
              <w:tl2br w:val="nil"/>
              <w:tr2bl w:val="nil"/>
            </w:tcBorders>
            <w:shd w:val="clear" w:color="auto" w:fill="auto"/>
            <w:tcMar>
              <w:top w:w="150" w:type="dxa"/>
              <w:left w:w="240" w:type="dxa"/>
              <w:bottom w:w="150" w:type="dxa"/>
              <w:right w:w="0" w:type="dxa"/>
            </w:tcMar>
            <w:vAlign w:val="center"/>
          </w:tcPr>
          <w:p w14:paraId="76FFDFA5">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（请填写与执业许可证完全一致的全称）</w:t>
            </w:r>
          </w:p>
        </w:tc>
      </w:tr>
      <w:tr w14:paraId="4A36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5C68BC74">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执业许可</w:t>
            </w:r>
          </w:p>
          <w:p w14:paraId="6D98E07D">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证号</w:t>
            </w:r>
          </w:p>
        </w:tc>
        <w:tc>
          <w:tcPr>
            <w:tcW w:w="6349" w:type="dxa"/>
            <w:tcBorders>
              <w:tl2br w:val="nil"/>
              <w:tr2bl w:val="nil"/>
            </w:tcBorders>
            <w:shd w:val="clear" w:color="auto" w:fill="auto"/>
            <w:tcMar>
              <w:top w:w="150" w:type="dxa"/>
              <w:left w:w="240" w:type="dxa"/>
              <w:bottom w:w="150" w:type="dxa"/>
              <w:right w:w="0" w:type="dxa"/>
            </w:tcMar>
            <w:vAlign w:val="center"/>
          </w:tcPr>
          <w:p w14:paraId="52D483BA">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（请填写许可证编号）</w:t>
            </w:r>
          </w:p>
        </w:tc>
      </w:tr>
      <w:tr w14:paraId="4D11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68D0DC30">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执业状态</w:t>
            </w:r>
          </w:p>
        </w:tc>
        <w:tc>
          <w:tcPr>
            <w:tcW w:w="6349" w:type="dxa"/>
            <w:tcBorders>
              <w:tl2br w:val="nil"/>
              <w:tr2bl w:val="nil"/>
            </w:tcBorders>
            <w:shd w:val="clear" w:color="auto" w:fill="auto"/>
            <w:tcMar>
              <w:top w:w="150" w:type="dxa"/>
              <w:left w:w="240" w:type="dxa"/>
              <w:bottom w:w="150" w:type="dxa"/>
              <w:right w:w="0" w:type="dxa"/>
            </w:tcMar>
            <w:vAlign w:val="center"/>
          </w:tcPr>
          <w:p w14:paraId="32F5743C">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 正常 □ 其他（请说明）</w:t>
            </w:r>
          </w:p>
        </w:tc>
      </w:tr>
      <w:tr w14:paraId="78A1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64DFEC8A">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在渝常驻</w:t>
            </w:r>
          </w:p>
          <w:p w14:paraId="7130D29A">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办公地址</w:t>
            </w:r>
          </w:p>
        </w:tc>
        <w:tc>
          <w:tcPr>
            <w:tcW w:w="6349" w:type="dxa"/>
            <w:tcBorders>
              <w:tl2br w:val="nil"/>
              <w:tr2bl w:val="nil"/>
            </w:tcBorders>
            <w:shd w:val="clear" w:color="auto" w:fill="auto"/>
            <w:tcMar>
              <w:top w:w="150" w:type="dxa"/>
              <w:left w:w="240" w:type="dxa"/>
              <w:bottom w:w="150" w:type="dxa"/>
              <w:right w:w="0" w:type="dxa"/>
            </w:tcMar>
            <w:vAlign w:val="center"/>
          </w:tcPr>
          <w:p w14:paraId="5705B3C0">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（请填写重庆市内的具体办公地址）</w:t>
            </w:r>
          </w:p>
        </w:tc>
      </w:tr>
      <w:tr w14:paraId="7522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rPr>
        <w:tc>
          <w:tcPr>
            <w:tcW w:w="1948" w:type="dxa"/>
            <w:tcBorders>
              <w:tl2br w:val="nil"/>
              <w:tr2bl w:val="nil"/>
            </w:tcBorders>
            <w:shd w:val="clear" w:color="auto" w:fill="auto"/>
            <w:tcMar>
              <w:top w:w="150" w:type="dxa"/>
              <w:left w:w="0" w:type="dxa"/>
              <w:bottom w:w="150" w:type="dxa"/>
              <w:right w:w="240" w:type="dxa"/>
            </w:tcMar>
            <w:vAlign w:val="center"/>
          </w:tcPr>
          <w:p w14:paraId="644368AE">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联系人</w:t>
            </w:r>
          </w:p>
          <w:p w14:paraId="30DD740B">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姓名、电话</w:t>
            </w:r>
          </w:p>
        </w:tc>
        <w:tc>
          <w:tcPr>
            <w:tcW w:w="6349" w:type="dxa"/>
            <w:tcBorders>
              <w:tl2br w:val="nil"/>
              <w:tr2bl w:val="nil"/>
            </w:tcBorders>
            <w:shd w:val="clear" w:color="auto" w:fill="auto"/>
            <w:tcMar>
              <w:top w:w="150" w:type="dxa"/>
              <w:left w:w="240" w:type="dxa"/>
              <w:bottom w:w="150" w:type="dxa"/>
              <w:right w:w="0" w:type="dxa"/>
            </w:tcMar>
            <w:vAlign w:val="center"/>
          </w:tcPr>
          <w:p w14:paraId="67170EA2">
            <w:pPr>
              <w:spacing w:line="516" w:lineRule="exact"/>
              <w:ind w:firstLine="600" w:firstLineChars="200"/>
              <w:jc w:val="center"/>
              <w:rPr>
                <w:rFonts w:ascii="Times New Roman" w:hAnsi="Times New Roman" w:eastAsia="方正仿宋_GBK" w:cs="Times New Roman"/>
                <w:sz w:val="30"/>
                <w:szCs w:val="30"/>
              </w:rPr>
            </w:pPr>
          </w:p>
        </w:tc>
      </w:tr>
      <w:tr w14:paraId="27BE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37462E1B">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电子邮箱</w:t>
            </w:r>
          </w:p>
        </w:tc>
        <w:tc>
          <w:tcPr>
            <w:tcW w:w="6349" w:type="dxa"/>
            <w:tcBorders>
              <w:tl2br w:val="nil"/>
              <w:tr2bl w:val="nil"/>
            </w:tcBorders>
            <w:shd w:val="clear" w:color="auto" w:fill="auto"/>
            <w:tcMar>
              <w:top w:w="150" w:type="dxa"/>
              <w:left w:w="240" w:type="dxa"/>
              <w:bottom w:w="150" w:type="dxa"/>
              <w:right w:w="0" w:type="dxa"/>
            </w:tcMar>
            <w:vAlign w:val="center"/>
          </w:tcPr>
          <w:p w14:paraId="01A0D938">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（用于接收通知，请务必准确）</w:t>
            </w:r>
          </w:p>
        </w:tc>
      </w:tr>
      <w:tr w14:paraId="0C2F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48" w:type="dxa"/>
            <w:tcBorders>
              <w:tl2br w:val="nil"/>
              <w:tr2bl w:val="nil"/>
            </w:tcBorders>
            <w:shd w:val="clear" w:color="auto" w:fill="auto"/>
            <w:tcMar>
              <w:top w:w="150" w:type="dxa"/>
              <w:left w:w="0" w:type="dxa"/>
              <w:bottom w:w="150" w:type="dxa"/>
              <w:right w:w="240" w:type="dxa"/>
            </w:tcMar>
            <w:vAlign w:val="center"/>
          </w:tcPr>
          <w:p w14:paraId="6A2AB04B">
            <w:pPr>
              <w:spacing w:line="516"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报名日期</w:t>
            </w:r>
          </w:p>
        </w:tc>
        <w:tc>
          <w:tcPr>
            <w:tcW w:w="6349" w:type="dxa"/>
            <w:tcBorders>
              <w:tl2br w:val="nil"/>
              <w:tr2bl w:val="nil"/>
            </w:tcBorders>
            <w:shd w:val="clear" w:color="auto" w:fill="auto"/>
            <w:tcMar>
              <w:top w:w="150" w:type="dxa"/>
              <w:left w:w="240" w:type="dxa"/>
              <w:bottom w:w="150" w:type="dxa"/>
              <w:right w:w="0" w:type="dxa"/>
            </w:tcMar>
            <w:vAlign w:val="center"/>
          </w:tcPr>
          <w:p w14:paraId="691F7F7A">
            <w:pPr>
              <w:spacing w:line="516" w:lineRule="exact"/>
              <w:ind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年 月 日</w:t>
            </w:r>
          </w:p>
        </w:tc>
      </w:tr>
    </w:tbl>
    <w:p w14:paraId="6AC97FA9">
      <w:pPr>
        <w:spacing w:line="520" w:lineRule="exact"/>
        <w:ind w:firstLine="600" w:firstLineChars="200"/>
        <w:jc w:val="center"/>
        <w:rPr>
          <w:rFonts w:ascii="方正黑体简体" w:hAnsi="方正黑体简体" w:eastAsia="方正黑体简体" w:cs="方正黑体简体"/>
          <w:sz w:val="30"/>
          <w:szCs w:val="30"/>
        </w:rPr>
      </w:pPr>
    </w:p>
    <w:p w14:paraId="09F4667B">
      <w:pPr>
        <w:spacing w:line="520" w:lineRule="exact"/>
        <w:ind w:firstLine="600" w:firstLineChars="200"/>
        <w:jc w:val="center"/>
        <w:rPr>
          <w:rFonts w:ascii="方正黑体简体" w:hAnsi="方正黑体简体" w:eastAsia="方正黑体简体" w:cs="方正黑体简体"/>
          <w:sz w:val="30"/>
          <w:szCs w:val="30"/>
        </w:rPr>
      </w:pPr>
    </w:p>
    <w:p w14:paraId="13AD259E">
      <w:pPr>
        <w:spacing w:line="520" w:lineRule="exact"/>
        <w:ind w:firstLine="600" w:firstLineChars="200"/>
        <w:jc w:val="center"/>
        <w:rPr>
          <w:rFonts w:ascii="方正黑体简体" w:hAnsi="方正黑体简体" w:eastAsia="方正黑体简体" w:cs="方正黑体简体"/>
          <w:sz w:val="30"/>
          <w:szCs w:val="30"/>
        </w:rPr>
      </w:pPr>
    </w:p>
    <w:p w14:paraId="11ABB546">
      <w:pPr>
        <w:spacing w:line="520" w:lineRule="exact"/>
        <w:ind w:firstLine="600" w:firstLineChars="200"/>
        <w:jc w:val="center"/>
        <w:rPr>
          <w:rFonts w:ascii="方正黑体简体" w:hAnsi="方正黑体简体" w:eastAsia="方正黑体简体" w:cs="方正黑体简体"/>
          <w:sz w:val="30"/>
          <w:szCs w:val="30"/>
        </w:rPr>
      </w:pPr>
    </w:p>
    <w:p w14:paraId="4674EB1C">
      <w:pPr>
        <w:spacing w:line="520" w:lineRule="exact"/>
        <w:ind w:firstLine="600" w:firstLineChars="200"/>
        <w:jc w:val="center"/>
        <w:rPr>
          <w:rFonts w:ascii="方正黑体简体" w:hAnsi="方正黑体简体" w:eastAsia="方正黑体简体" w:cs="方正黑体简体"/>
          <w:sz w:val="30"/>
          <w:szCs w:val="30"/>
        </w:rPr>
      </w:pPr>
    </w:p>
    <w:p w14:paraId="44BBF265">
      <w:pPr>
        <w:spacing w:line="520" w:lineRule="exact"/>
        <w:ind w:firstLine="600" w:firstLineChars="200"/>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二、参选文件函</w:t>
      </w:r>
    </w:p>
    <w:p w14:paraId="036C7936">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w:t>
      </w:r>
    </w:p>
    <w:p w14:paraId="741EBE9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（参选人全称）授权本人参加贵单位组织的</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（项目名称） 的有关活动，并进行参选。为此：</w:t>
      </w:r>
    </w:p>
    <w:p w14:paraId="56524625">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提供参选人须知规定的参选文件正本壹份，副本贰份。</w:t>
      </w:r>
    </w:p>
    <w:p w14:paraId="37ABC0A0">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我方已详细审查全部比选文件，保证遵守比选文件中的有关规定，对比选文件的合理性、合法性没有异议。</w:t>
      </w:r>
    </w:p>
    <w:p w14:paraId="704E6747">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如中选，保证忠实地执行合作双方所签的合同，并承担合同规定的责任义务。</w:t>
      </w:r>
    </w:p>
    <w:p w14:paraId="64C79984">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愿意向贵方提供任何与该项参选文件有关的数据和资料。</w:t>
      </w:r>
    </w:p>
    <w:p w14:paraId="25A9090C">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本参选文件自评议之日起60天内有效。</w:t>
      </w:r>
    </w:p>
    <w:p w14:paraId="75153CA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与本参选文件有关的一切往来通讯请寄：</w:t>
      </w:r>
    </w:p>
    <w:p w14:paraId="11FF96AA">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地址：</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 xml:space="preserve">邮编： </w:t>
      </w:r>
    </w:p>
    <w:p w14:paraId="5B4FCD8B">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电话： </w:t>
      </w:r>
    </w:p>
    <w:p w14:paraId="38B8D045">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邮箱：</w:t>
      </w:r>
    </w:p>
    <w:p w14:paraId="0B83E196">
      <w:pPr>
        <w:spacing w:line="520" w:lineRule="exact"/>
        <w:ind w:left="5071" w:leftChars="2272" w:hanging="300" w:hangingChars="100"/>
        <w:rPr>
          <w:rFonts w:ascii="Times New Roman" w:hAnsi="Times New Roman" w:eastAsia="方正仿宋_GBK" w:cs="Times New Roman"/>
          <w:sz w:val="30"/>
          <w:szCs w:val="30"/>
        </w:rPr>
      </w:pPr>
    </w:p>
    <w:p w14:paraId="2C0DEF69">
      <w:pPr>
        <w:spacing w:line="520" w:lineRule="exact"/>
        <w:ind w:left="5071" w:leftChars="2272" w:hanging="300" w:hanging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参选文件人（盖章）：</w:t>
      </w:r>
    </w:p>
    <w:p w14:paraId="423F8EE3">
      <w:pPr>
        <w:spacing w:line="520" w:lineRule="exact"/>
        <w:ind w:left="5071" w:leftChars="2272" w:hanging="300" w:hanging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授权代表（签字）：</w:t>
      </w:r>
      <w:r>
        <w:rPr>
          <w:rFonts w:hint="eastAsia" w:ascii="Times New Roman" w:hAnsi="Times New Roman" w:eastAsia="方正仿宋_GBK" w:cs="Times New Roman"/>
          <w:sz w:val="30"/>
          <w:szCs w:val="30"/>
        </w:rPr>
        <w:t xml:space="preserve"> </w:t>
      </w:r>
    </w:p>
    <w:p w14:paraId="147D8917">
      <w:pPr>
        <w:spacing w:line="520" w:lineRule="exact"/>
        <w:ind w:left="5071" w:leftChars="2272" w:hanging="300" w:hanging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日期：</w:t>
      </w:r>
    </w:p>
    <w:p w14:paraId="3AB0E044">
      <w:pPr>
        <w:spacing w:line="520" w:lineRule="exact"/>
        <w:jc w:val="center"/>
        <w:rPr>
          <w:rFonts w:ascii="方正黑体简体" w:hAnsi="方正黑体简体" w:eastAsia="方正黑体简体" w:cs="方正黑体简体"/>
          <w:sz w:val="30"/>
          <w:szCs w:val="30"/>
        </w:rPr>
      </w:pPr>
    </w:p>
    <w:p w14:paraId="32070D08">
      <w:pPr>
        <w:spacing w:line="520" w:lineRule="exact"/>
        <w:jc w:val="center"/>
        <w:rPr>
          <w:rFonts w:ascii="方正黑体简体" w:hAnsi="方正黑体简体" w:eastAsia="方正黑体简体" w:cs="方正黑体简体"/>
          <w:sz w:val="30"/>
          <w:szCs w:val="30"/>
        </w:rPr>
      </w:pPr>
    </w:p>
    <w:p w14:paraId="5DD7ACF8">
      <w:pPr>
        <w:spacing w:line="520" w:lineRule="exact"/>
        <w:jc w:val="center"/>
        <w:rPr>
          <w:rFonts w:ascii="方正黑体简体" w:hAnsi="方正黑体简体" w:eastAsia="方正黑体简体" w:cs="方正黑体简体"/>
          <w:sz w:val="30"/>
          <w:szCs w:val="30"/>
        </w:rPr>
      </w:pPr>
    </w:p>
    <w:p w14:paraId="450D6FB5">
      <w:pPr>
        <w:spacing w:line="520" w:lineRule="exact"/>
        <w:jc w:val="center"/>
        <w:rPr>
          <w:rFonts w:ascii="方正黑体简体" w:hAnsi="方正黑体简体" w:eastAsia="方正黑体简体" w:cs="方正黑体简体"/>
          <w:sz w:val="30"/>
          <w:szCs w:val="30"/>
        </w:rPr>
      </w:pPr>
    </w:p>
    <w:p w14:paraId="44140C6B">
      <w:pPr>
        <w:spacing w:line="520" w:lineRule="exact"/>
        <w:rPr>
          <w:rFonts w:ascii="方正黑体简体" w:hAnsi="方正黑体简体" w:eastAsia="方正黑体简体" w:cs="方正黑体简体"/>
          <w:sz w:val="30"/>
          <w:szCs w:val="30"/>
        </w:rPr>
      </w:pPr>
    </w:p>
    <w:p w14:paraId="668D693B">
      <w:pPr>
        <w:spacing w:line="520" w:lineRule="exact"/>
        <w:jc w:val="center"/>
        <w:rPr>
          <w:rFonts w:ascii="方正黑体简体" w:hAnsi="方正黑体简体" w:eastAsia="方正黑体简体" w:cs="方正黑体简体"/>
          <w:sz w:val="30"/>
          <w:szCs w:val="30"/>
        </w:rPr>
      </w:pPr>
    </w:p>
    <w:p w14:paraId="6FFBABBE">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三、法定代表人（负责人）授权书</w:t>
      </w:r>
    </w:p>
    <w:p w14:paraId="59E073F1">
      <w:pPr>
        <w:spacing w:line="520" w:lineRule="exact"/>
        <w:ind w:firstLine="600" w:firstLineChars="200"/>
        <w:rPr>
          <w:rFonts w:ascii="Times New Roman" w:hAnsi="Times New Roman" w:eastAsia="方正仿宋_GBK" w:cs="Times New Roman"/>
          <w:sz w:val="30"/>
          <w:szCs w:val="30"/>
        </w:rPr>
      </w:pPr>
    </w:p>
    <w:p w14:paraId="6DE7D545">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w:t>
      </w:r>
    </w:p>
    <w:p w14:paraId="6418405C">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兹授权我所</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 xml:space="preserve">（授权代表姓名） ，全权代表我所参加贵单位组织的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（项目名称）的评选活动，包括但不限于递交参选文件等，其在参选文件中的一切活动本所均予以承认。</w:t>
      </w:r>
    </w:p>
    <w:p w14:paraId="40F84396">
      <w:pPr>
        <w:spacing w:line="520" w:lineRule="exact"/>
        <w:ind w:firstLine="600" w:firstLineChars="200"/>
        <w:rPr>
          <w:rFonts w:ascii="Times New Roman" w:hAnsi="Times New Roman" w:eastAsia="方正仿宋_GBK" w:cs="Times New Roman"/>
          <w:sz w:val="30"/>
          <w:szCs w:val="30"/>
        </w:rPr>
      </w:pPr>
    </w:p>
    <w:p w14:paraId="0244EECE">
      <w:pPr>
        <w:spacing w:line="520" w:lineRule="exact"/>
        <w:ind w:left="5368" w:leftChars="2556"/>
        <w:rPr>
          <w:rFonts w:ascii="Times New Roman" w:hAnsi="Times New Roman" w:eastAsia="方正仿宋_GBK" w:cs="Times New Roman"/>
          <w:sz w:val="30"/>
          <w:szCs w:val="30"/>
        </w:rPr>
      </w:pPr>
      <w:r>
        <w:rPr>
          <w:rFonts w:ascii="Times New Roman" w:hAnsi="Times New Roman" w:eastAsia="方正仿宋_GBK" w:cs="Times New Roman"/>
          <w:sz w:val="30"/>
          <w:szCs w:val="30"/>
        </w:rPr>
        <w:t>参选人（盖章）：</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法定代表人（签字）：</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日期：</w:t>
      </w:r>
    </w:p>
    <w:p w14:paraId="3B5DB27A">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附：</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授权代表姓名</w:t>
      </w:r>
      <w:r>
        <w:rPr>
          <w:rFonts w:hint="eastAsia" w:ascii="Times New Roman" w:hAnsi="Times New Roman" w:eastAsia="方正仿宋_GBK" w:cs="Times New Roman"/>
          <w:sz w:val="30"/>
          <w:szCs w:val="30"/>
        </w:rPr>
        <w:t>（签字）</w:t>
      </w:r>
      <w:r>
        <w:rPr>
          <w:rFonts w:ascii="Times New Roman" w:hAnsi="Times New Roman" w:eastAsia="方正仿宋_GBK" w:cs="Times New Roman"/>
          <w:sz w:val="30"/>
          <w:szCs w:val="30"/>
        </w:rPr>
        <w:t>：</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职 务：</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身份证件号码：</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详细通讯地址：</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电 话：</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传 真：</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邮政编码：</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（注：须附授权代表身份证复印件）</w:t>
      </w:r>
    </w:p>
    <w:p w14:paraId="7C7639B1">
      <w:pPr>
        <w:spacing w:line="520" w:lineRule="exact"/>
        <w:ind w:firstLine="600" w:firstLineChars="200"/>
        <w:rPr>
          <w:rFonts w:ascii="Times New Roman" w:hAnsi="Times New Roman" w:eastAsia="方正仿宋_GBK" w:cs="Times New Roman"/>
          <w:sz w:val="30"/>
          <w:szCs w:val="30"/>
        </w:rPr>
      </w:pPr>
    </w:p>
    <w:p w14:paraId="093763D4">
      <w:pPr>
        <w:spacing w:line="520" w:lineRule="exact"/>
        <w:ind w:firstLine="600" w:firstLineChars="200"/>
        <w:rPr>
          <w:rFonts w:ascii="Times New Roman" w:hAnsi="Times New Roman" w:eastAsia="方正仿宋_GBK" w:cs="Times New Roman"/>
          <w:sz w:val="30"/>
          <w:szCs w:val="30"/>
        </w:rPr>
      </w:pPr>
    </w:p>
    <w:p w14:paraId="40AE640B">
      <w:pPr>
        <w:spacing w:line="520" w:lineRule="exact"/>
        <w:ind w:firstLine="600" w:firstLineChars="200"/>
        <w:rPr>
          <w:rFonts w:ascii="Times New Roman" w:hAnsi="Times New Roman" w:eastAsia="方正仿宋_GBK" w:cs="Times New Roman"/>
          <w:sz w:val="30"/>
          <w:szCs w:val="30"/>
        </w:rPr>
      </w:pPr>
    </w:p>
    <w:p w14:paraId="22109A48">
      <w:pPr>
        <w:spacing w:line="520" w:lineRule="exact"/>
        <w:ind w:firstLine="600" w:firstLineChars="200"/>
        <w:rPr>
          <w:rFonts w:ascii="Times New Roman" w:hAnsi="Times New Roman" w:eastAsia="方正仿宋_GBK" w:cs="Times New Roman"/>
          <w:sz w:val="30"/>
          <w:szCs w:val="30"/>
        </w:rPr>
      </w:pPr>
    </w:p>
    <w:p w14:paraId="24BBD43F">
      <w:pPr>
        <w:spacing w:line="520" w:lineRule="exact"/>
        <w:ind w:firstLine="600" w:firstLineChars="200"/>
        <w:rPr>
          <w:rFonts w:ascii="Times New Roman" w:hAnsi="Times New Roman" w:eastAsia="方正仿宋_GBK" w:cs="Times New Roman"/>
          <w:sz w:val="30"/>
          <w:szCs w:val="30"/>
        </w:rPr>
      </w:pPr>
    </w:p>
    <w:p w14:paraId="0662C202">
      <w:pPr>
        <w:spacing w:line="520" w:lineRule="exact"/>
        <w:ind w:firstLine="600" w:firstLineChars="200"/>
        <w:rPr>
          <w:rFonts w:ascii="Times New Roman" w:hAnsi="Times New Roman" w:eastAsia="方正仿宋_GBK" w:cs="Times New Roman"/>
          <w:sz w:val="30"/>
          <w:szCs w:val="30"/>
        </w:rPr>
      </w:pPr>
    </w:p>
    <w:p w14:paraId="478CEE85">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四、服务报价表</w:t>
      </w:r>
    </w:p>
    <w:p w14:paraId="4AA18EA2">
      <w:pPr>
        <w:pStyle w:val="2"/>
      </w:pPr>
    </w:p>
    <w:p w14:paraId="569FAA2F">
      <w:pPr>
        <w:pStyle w:val="2"/>
      </w:pPr>
    </w:p>
    <w:tbl>
      <w:tblPr>
        <w:tblStyle w:val="7"/>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10"/>
        <w:gridCol w:w="3525"/>
        <w:gridCol w:w="1275"/>
      </w:tblGrid>
      <w:tr w14:paraId="711D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910" w:type="dxa"/>
            <w:tcBorders>
              <w:tl2br w:val="nil"/>
              <w:tr2bl w:val="nil"/>
            </w:tcBorders>
            <w:shd w:val="clear" w:color="auto" w:fill="auto"/>
            <w:tcMar>
              <w:top w:w="150" w:type="dxa"/>
              <w:left w:w="0" w:type="dxa"/>
              <w:bottom w:w="150" w:type="dxa"/>
              <w:right w:w="240" w:type="dxa"/>
            </w:tcMar>
            <w:vAlign w:val="center"/>
          </w:tcPr>
          <w:p w14:paraId="02AF2E55">
            <w:pPr>
              <w:spacing w:line="52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项目名称</w:t>
            </w:r>
          </w:p>
        </w:tc>
        <w:tc>
          <w:tcPr>
            <w:tcW w:w="3525" w:type="dxa"/>
            <w:tcBorders>
              <w:tl2br w:val="nil"/>
              <w:tr2bl w:val="nil"/>
            </w:tcBorders>
            <w:shd w:val="clear" w:color="auto" w:fill="auto"/>
            <w:tcMar>
              <w:top w:w="150" w:type="dxa"/>
              <w:left w:w="240" w:type="dxa"/>
              <w:bottom w:w="150" w:type="dxa"/>
              <w:right w:w="240" w:type="dxa"/>
            </w:tcMar>
            <w:vAlign w:val="center"/>
          </w:tcPr>
          <w:p w14:paraId="512B4C96">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服务团队及团队负责人</w:t>
            </w:r>
          </w:p>
        </w:tc>
        <w:tc>
          <w:tcPr>
            <w:tcW w:w="1275" w:type="dxa"/>
            <w:tcBorders>
              <w:tl2br w:val="nil"/>
              <w:tr2bl w:val="nil"/>
            </w:tcBorders>
            <w:shd w:val="clear" w:color="auto" w:fill="auto"/>
            <w:tcMar>
              <w:top w:w="150" w:type="dxa"/>
              <w:left w:w="240" w:type="dxa"/>
              <w:bottom w:w="150" w:type="dxa"/>
              <w:right w:w="240" w:type="dxa"/>
            </w:tcMar>
            <w:vAlign w:val="center"/>
          </w:tcPr>
          <w:p w14:paraId="3383EA9E">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备注</w:t>
            </w:r>
          </w:p>
        </w:tc>
      </w:tr>
      <w:tr w14:paraId="2160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10" w:type="dxa"/>
            <w:tcBorders>
              <w:tl2br w:val="nil"/>
              <w:tr2bl w:val="nil"/>
            </w:tcBorders>
            <w:shd w:val="clear" w:color="auto" w:fill="auto"/>
            <w:tcMar>
              <w:top w:w="150" w:type="dxa"/>
              <w:left w:w="0" w:type="dxa"/>
              <w:bottom w:w="150" w:type="dxa"/>
              <w:right w:w="240" w:type="dxa"/>
            </w:tcMar>
            <w:vAlign w:val="center"/>
          </w:tcPr>
          <w:p w14:paraId="77F2D493">
            <w:pPr>
              <w:spacing w:line="520" w:lineRule="exact"/>
              <w:jc w:val="center"/>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重庆广播电视集团（总台）2026年度常年法律顾问</w:t>
            </w:r>
          </w:p>
          <w:p w14:paraId="72D78B16">
            <w:pPr>
              <w:spacing w:line="520" w:lineRule="exact"/>
              <w:jc w:val="center"/>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整体服务</w:t>
            </w:r>
          </w:p>
        </w:tc>
        <w:tc>
          <w:tcPr>
            <w:tcW w:w="3525" w:type="dxa"/>
            <w:tcBorders>
              <w:tl2br w:val="nil"/>
              <w:tr2bl w:val="nil"/>
            </w:tcBorders>
            <w:shd w:val="clear" w:color="auto" w:fill="auto"/>
            <w:tcMar>
              <w:top w:w="150" w:type="dxa"/>
              <w:left w:w="240" w:type="dxa"/>
              <w:bottom w:w="150" w:type="dxa"/>
              <w:right w:w="240" w:type="dxa"/>
            </w:tcMar>
            <w:vAlign w:val="center"/>
          </w:tcPr>
          <w:p w14:paraId="0F464647">
            <w:pPr>
              <w:spacing w:line="520" w:lineRule="exact"/>
              <w:ind w:firstLine="600" w:firstLineChars="200"/>
              <w:rPr>
                <w:rFonts w:ascii="Times New Roman" w:hAnsi="Times New Roman" w:eastAsia="方正仿宋_GBK" w:cs="Times New Roman"/>
                <w:sz w:val="30"/>
                <w:szCs w:val="30"/>
              </w:rPr>
            </w:pPr>
          </w:p>
        </w:tc>
        <w:tc>
          <w:tcPr>
            <w:tcW w:w="1275" w:type="dxa"/>
            <w:tcBorders>
              <w:tl2br w:val="nil"/>
              <w:tr2bl w:val="nil"/>
            </w:tcBorders>
            <w:shd w:val="clear" w:color="auto" w:fill="auto"/>
            <w:tcMar>
              <w:top w:w="150" w:type="dxa"/>
              <w:left w:w="240" w:type="dxa"/>
              <w:bottom w:w="150" w:type="dxa"/>
              <w:right w:w="0" w:type="dxa"/>
            </w:tcMar>
            <w:vAlign w:val="center"/>
          </w:tcPr>
          <w:p w14:paraId="02A2F0DD">
            <w:pPr>
              <w:spacing w:line="520" w:lineRule="exact"/>
              <w:ind w:firstLine="600" w:firstLineChars="200"/>
              <w:rPr>
                <w:rFonts w:ascii="Times New Roman" w:hAnsi="Times New Roman" w:eastAsia="方正仿宋_GBK" w:cs="Times New Roman"/>
                <w:sz w:val="30"/>
                <w:szCs w:val="30"/>
              </w:rPr>
            </w:pPr>
          </w:p>
        </w:tc>
      </w:tr>
      <w:tr w14:paraId="557B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10" w:type="dxa"/>
            <w:vMerge w:val="restart"/>
            <w:tcBorders>
              <w:tl2br w:val="nil"/>
              <w:tr2bl w:val="nil"/>
            </w:tcBorders>
            <w:shd w:val="clear" w:color="auto" w:fill="auto"/>
            <w:tcMar>
              <w:top w:w="150" w:type="dxa"/>
              <w:left w:w="0" w:type="dxa"/>
              <w:bottom w:w="150" w:type="dxa"/>
              <w:right w:w="240" w:type="dxa"/>
            </w:tcMar>
            <w:vAlign w:val="center"/>
          </w:tcPr>
          <w:p w14:paraId="1F7A3708">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服务年费报价（人民币元）</w:t>
            </w:r>
          </w:p>
        </w:tc>
        <w:tc>
          <w:tcPr>
            <w:tcW w:w="4800" w:type="dxa"/>
            <w:gridSpan w:val="2"/>
            <w:tcBorders>
              <w:tl2br w:val="nil"/>
              <w:tr2bl w:val="nil"/>
            </w:tcBorders>
            <w:shd w:val="clear" w:color="auto" w:fill="auto"/>
            <w:tcMar>
              <w:top w:w="150" w:type="dxa"/>
              <w:left w:w="240" w:type="dxa"/>
              <w:bottom w:w="150" w:type="dxa"/>
              <w:right w:w="240" w:type="dxa"/>
            </w:tcMar>
            <w:vAlign w:val="center"/>
          </w:tcPr>
          <w:p w14:paraId="672D02B9">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（大写）人民币：</w:t>
            </w:r>
          </w:p>
        </w:tc>
      </w:tr>
      <w:tr w14:paraId="7F68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10" w:type="dxa"/>
            <w:vMerge w:val="continue"/>
            <w:tcBorders>
              <w:tl2br w:val="nil"/>
              <w:tr2bl w:val="nil"/>
            </w:tcBorders>
            <w:shd w:val="clear" w:color="auto" w:fill="auto"/>
            <w:tcMar>
              <w:top w:w="150" w:type="dxa"/>
              <w:left w:w="0" w:type="dxa"/>
              <w:bottom w:w="150" w:type="dxa"/>
              <w:right w:w="240" w:type="dxa"/>
            </w:tcMar>
            <w:vAlign w:val="center"/>
          </w:tcPr>
          <w:p w14:paraId="03BA429F">
            <w:pPr>
              <w:spacing w:line="520" w:lineRule="exact"/>
              <w:ind w:firstLine="600" w:firstLineChars="200"/>
              <w:rPr>
                <w:rFonts w:ascii="Times New Roman" w:hAnsi="Times New Roman" w:eastAsia="方正仿宋_GBK" w:cs="Times New Roman"/>
                <w:sz w:val="30"/>
                <w:szCs w:val="30"/>
              </w:rPr>
            </w:pPr>
          </w:p>
        </w:tc>
        <w:tc>
          <w:tcPr>
            <w:tcW w:w="4800" w:type="dxa"/>
            <w:gridSpan w:val="2"/>
            <w:tcBorders>
              <w:tl2br w:val="nil"/>
              <w:tr2bl w:val="nil"/>
            </w:tcBorders>
            <w:shd w:val="clear" w:color="auto" w:fill="auto"/>
            <w:tcMar>
              <w:top w:w="150" w:type="dxa"/>
              <w:left w:w="240" w:type="dxa"/>
              <w:bottom w:w="150" w:type="dxa"/>
              <w:right w:w="240" w:type="dxa"/>
            </w:tcMar>
            <w:vAlign w:val="center"/>
          </w:tcPr>
          <w:p w14:paraId="6D7763FF">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（小写）¥：</w:t>
            </w:r>
          </w:p>
        </w:tc>
      </w:tr>
    </w:tbl>
    <w:p w14:paraId="38B217D6">
      <w:pPr>
        <w:spacing w:line="520" w:lineRule="exact"/>
        <w:ind w:left="5964" w:leftChars="2840"/>
        <w:rPr>
          <w:rFonts w:ascii="Times New Roman" w:hAnsi="Times New Roman" w:eastAsia="方正仿宋_GBK" w:cs="Times New Roman"/>
          <w:sz w:val="30"/>
          <w:szCs w:val="30"/>
        </w:rPr>
      </w:pPr>
    </w:p>
    <w:p w14:paraId="4D470775">
      <w:pPr>
        <w:spacing w:line="520" w:lineRule="exact"/>
        <w:ind w:left="4175" w:leftChars="1988"/>
        <w:rPr>
          <w:rFonts w:ascii="Times New Roman" w:hAnsi="Times New Roman" w:eastAsia="方正仿宋_GBK" w:cs="Times New Roman"/>
          <w:sz w:val="30"/>
          <w:szCs w:val="30"/>
        </w:rPr>
      </w:pPr>
      <w:r>
        <w:rPr>
          <w:rFonts w:ascii="Times New Roman" w:hAnsi="Times New Roman" w:eastAsia="方正仿宋_GBK" w:cs="Times New Roman"/>
          <w:sz w:val="30"/>
          <w:szCs w:val="30"/>
        </w:rPr>
        <w:t>参选人（盖章）：</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授权代表（签字）：</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日 期：</w:t>
      </w:r>
    </w:p>
    <w:p w14:paraId="5A9C48FB">
      <w:pPr>
        <w:spacing w:line="520" w:lineRule="exact"/>
        <w:ind w:firstLine="600" w:firstLineChars="200"/>
        <w:rPr>
          <w:rFonts w:ascii="方正黑体简体" w:hAnsi="方正黑体简体" w:eastAsia="方正黑体简体" w:cs="方正黑体简体"/>
          <w:sz w:val="30"/>
          <w:szCs w:val="30"/>
        </w:rPr>
      </w:pPr>
    </w:p>
    <w:p w14:paraId="54657FB4">
      <w:pPr>
        <w:spacing w:line="520" w:lineRule="exact"/>
        <w:ind w:firstLine="600" w:firstLineChars="200"/>
        <w:rPr>
          <w:rFonts w:ascii="方正黑体简体" w:hAnsi="方正黑体简体" w:eastAsia="方正黑体简体" w:cs="方正黑体简体"/>
          <w:sz w:val="30"/>
          <w:szCs w:val="30"/>
        </w:rPr>
      </w:pPr>
    </w:p>
    <w:p w14:paraId="24BC92E7">
      <w:pPr>
        <w:spacing w:line="520" w:lineRule="exact"/>
        <w:ind w:firstLine="600" w:firstLineChars="200"/>
        <w:rPr>
          <w:rFonts w:ascii="方正黑体简体" w:hAnsi="方正黑体简体" w:eastAsia="方正黑体简体" w:cs="方正黑体简体"/>
          <w:sz w:val="30"/>
          <w:szCs w:val="30"/>
        </w:rPr>
      </w:pPr>
    </w:p>
    <w:p w14:paraId="637771E7">
      <w:pPr>
        <w:spacing w:line="520" w:lineRule="exact"/>
        <w:ind w:firstLine="600" w:firstLineChars="200"/>
        <w:rPr>
          <w:rFonts w:ascii="方正黑体简体" w:hAnsi="方正黑体简体" w:eastAsia="方正黑体简体" w:cs="方正黑体简体"/>
          <w:sz w:val="30"/>
          <w:szCs w:val="30"/>
        </w:rPr>
      </w:pPr>
    </w:p>
    <w:p w14:paraId="560BD799">
      <w:pPr>
        <w:spacing w:line="520" w:lineRule="exact"/>
        <w:ind w:firstLine="600" w:firstLineChars="200"/>
        <w:rPr>
          <w:rFonts w:ascii="方正黑体简体" w:hAnsi="方正黑体简体" w:eastAsia="方正黑体简体" w:cs="方正黑体简体"/>
          <w:sz w:val="30"/>
          <w:szCs w:val="30"/>
        </w:rPr>
      </w:pPr>
    </w:p>
    <w:p w14:paraId="6E362C47">
      <w:pPr>
        <w:spacing w:line="520" w:lineRule="exact"/>
        <w:ind w:firstLine="600" w:firstLineChars="200"/>
        <w:rPr>
          <w:rFonts w:ascii="方正黑体简体" w:hAnsi="方正黑体简体" w:eastAsia="方正黑体简体" w:cs="方正黑体简体"/>
          <w:sz w:val="30"/>
          <w:szCs w:val="30"/>
        </w:rPr>
      </w:pPr>
    </w:p>
    <w:p w14:paraId="5269AE93">
      <w:pPr>
        <w:spacing w:line="520" w:lineRule="exact"/>
        <w:ind w:firstLine="600" w:firstLineChars="200"/>
        <w:rPr>
          <w:rFonts w:ascii="方正黑体简体" w:hAnsi="方正黑体简体" w:eastAsia="方正黑体简体" w:cs="方正黑体简体"/>
          <w:sz w:val="30"/>
          <w:szCs w:val="30"/>
        </w:rPr>
      </w:pPr>
    </w:p>
    <w:p w14:paraId="501E96DA">
      <w:pPr>
        <w:spacing w:line="520" w:lineRule="exact"/>
        <w:ind w:firstLine="600" w:firstLineChars="200"/>
        <w:rPr>
          <w:rFonts w:ascii="方正黑体简体" w:hAnsi="方正黑体简体" w:eastAsia="方正黑体简体" w:cs="方正黑体简体"/>
          <w:sz w:val="30"/>
          <w:szCs w:val="30"/>
        </w:rPr>
      </w:pPr>
    </w:p>
    <w:p w14:paraId="0D6DBF62">
      <w:pPr>
        <w:spacing w:line="520" w:lineRule="exact"/>
        <w:ind w:firstLine="600" w:firstLineChars="200"/>
        <w:rPr>
          <w:rFonts w:ascii="方正黑体简体" w:hAnsi="方正黑体简体" w:eastAsia="方正黑体简体" w:cs="方正黑体简体"/>
          <w:sz w:val="30"/>
          <w:szCs w:val="30"/>
        </w:rPr>
      </w:pPr>
    </w:p>
    <w:p w14:paraId="7B7B2EFA">
      <w:pPr>
        <w:spacing w:line="520" w:lineRule="exact"/>
        <w:ind w:firstLine="600" w:firstLineChars="200"/>
        <w:rPr>
          <w:rFonts w:ascii="方正黑体简体" w:hAnsi="方正黑体简体" w:eastAsia="方正黑体简体" w:cs="方正黑体简体"/>
          <w:sz w:val="30"/>
          <w:szCs w:val="30"/>
        </w:rPr>
      </w:pPr>
    </w:p>
    <w:p w14:paraId="1956686A">
      <w:pPr>
        <w:spacing w:line="520" w:lineRule="exact"/>
        <w:ind w:firstLine="600" w:firstLineChars="200"/>
        <w:rPr>
          <w:rFonts w:ascii="方正黑体简体" w:hAnsi="方正黑体简体" w:eastAsia="方正黑体简体" w:cs="方正黑体简体"/>
          <w:sz w:val="30"/>
          <w:szCs w:val="30"/>
        </w:rPr>
      </w:pPr>
    </w:p>
    <w:p w14:paraId="45BC983C">
      <w:pPr>
        <w:spacing w:line="520" w:lineRule="exact"/>
        <w:ind w:firstLine="600" w:firstLineChars="200"/>
        <w:rPr>
          <w:rFonts w:ascii="方正黑体简体" w:hAnsi="方正黑体简体" w:eastAsia="方正黑体简体" w:cs="方正黑体简体"/>
          <w:sz w:val="30"/>
          <w:szCs w:val="30"/>
        </w:rPr>
      </w:pPr>
    </w:p>
    <w:p w14:paraId="7900DEE1">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五、其他法律服务收费参考报价</w:t>
      </w:r>
    </w:p>
    <w:p w14:paraId="29E152E0">
      <w:pPr>
        <w:pStyle w:val="2"/>
      </w:pPr>
    </w:p>
    <w:p w14:paraId="05132D35">
      <w:pPr>
        <w:spacing w:line="440" w:lineRule="exact"/>
        <w:ind w:firstLine="482" w:firstLineChars="200"/>
        <w:rPr>
          <w:rFonts w:ascii="Times New Roman" w:hAnsi="Times New Roman" w:eastAsia="方正仿宋_GBK" w:cs="Times New Roman"/>
          <w:b/>
          <w:bCs/>
          <w:sz w:val="24"/>
        </w:rPr>
      </w:pPr>
      <w:r>
        <w:rPr>
          <w:rFonts w:ascii="Times New Roman" w:hAnsi="Times New Roman" w:eastAsia="方正仿宋_GBK" w:cs="Times New Roman"/>
          <w:b/>
          <w:bCs/>
          <w:sz w:val="24"/>
        </w:rPr>
        <w:t>一、诉讼案件代理收费报价（收费报价为诉讼案件一审阶段的收费标准）：</w:t>
      </w:r>
    </w:p>
    <w:p w14:paraId="48A428BB">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（一）代理涉及财产关系的诉讼案件，根据诉讼标的额，按比例分段累计收费报价：</w:t>
      </w:r>
    </w:p>
    <w:p w14:paraId="45236757">
      <w:pPr>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1.</w:t>
      </w:r>
      <w:r>
        <w:rPr>
          <w:rFonts w:ascii="Times New Roman" w:hAnsi="Times New Roman" w:eastAsia="方正仿宋_GBK" w:cs="Times New Roman"/>
          <w:sz w:val="24"/>
        </w:rPr>
        <w:t>标的额在人民币10万元以下（含10万元）的按标的额的 ____%收取；</w:t>
      </w:r>
    </w:p>
    <w:p w14:paraId="668994E3">
      <w:pPr>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标的额在人民币10万元以上至100万元（含100万元）的按标的额的 ____%收取；</w:t>
      </w:r>
    </w:p>
    <w:p w14:paraId="1852E46B">
      <w:pPr>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标的额在人民币100万元以上至500万元（含500万元）的按标的额的 ____%收取；</w:t>
      </w:r>
    </w:p>
    <w:p w14:paraId="2996FA32">
      <w:pPr>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w:t>
      </w:r>
      <w:r>
        <w:rPr>
          <w:rFonts w:ascii="Times New Roman" w:hAnsi="Times New Roman" w:eastAsia="方正仿宋_GBK" w:cs="Times New Roman"/>
          <w:sz w:val="24"/>
        </w:rPr>
        <w:t>标的额在人民币500万元以上至1000万元（含1000万元）的按标的额的 ____%收取；</w:t>
      </w:r>
    </w:p>
    <w:p w14:paraId="55AAA896">
      <w:pPr>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w:t>
      </w:r>
      <w:r>
        <w:rPr>
          <w:rFonts w:ascii="Times New Roman" w:hAnsi="Times New Roman" w:eastAsia="方正仿宋_GBK" w:cs="Times New Roman"/>
          <w:sz w:val="24"/>
        </w:rPr>
        <w:t>标的额在人民币1000万元以上的按标的额的 ____%收取。</w:t>
      </w:r>
    </w:p>
    <w:p w14:paraId="559A5665">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（二）代理不涉及财产关系的诉讼案件的计件收费报价： ____ 元/件。</w:t>
      </w:r>
    </w:p>
    <w:p w14:paraId="3E3F4C3C">
      <w:pPr>
        <w:spacing w:line="440" w:lineRule="exact"/>
        <w:ind w:firstLine="482" w:firstLineChars="200"/>
        <w:rPr>
          <w:rFonts w:ascii="Times New Roman" w:hAnsi="Times New Roman" w:eastAsia="方正仿宋_GBK" w:cs="Times New Roman"/>
          <w:b/>
          <w:bCs/>
          <w:sz w:val="24"/>
        </w:rPr>
      </w:pPr>
      <w:r>
        <w:rPr>
          <w:rFonts w:ascii="Times New Roman" w:hAnsi="Times New Roman" w:eastAsia="方正仿宋_GBK" w:cs="Times New Roman"/>
          <w:b/>
          <w:bCs/>
          <w:sz w:val="24"/>
        </w:rPr>
        <w:t>二、非诉讼专项法律服务收费报价：</w:t>
      </w:r>
    </w:p>
    <w:p w14:paraId="7A510206">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（一）提供有关企业上市（首次公开募股）、投融资、收并购等资本类项目的专项法律服务计件收费报价：____ 元/件；</w:t>
      </w:r>
    </w:p>
    <w:p w14:paraId="0AB35996">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（二）提供有关单位改制、企业重组重整等内部建设类项目的专项法律服务计件收费报价：____ 元/件；</w:t>
      </w:r>
    </w:p>
    <w:p w14:paraId="57B0F5EF">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（三）提供工程建设类项目全过程专项法律服务计件收费报价： ____ 元/件；</w:t>
      </w:r>
    </w:p>
    <w:p w14:paraId="6690AAFF">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（四）提供其他重大项目独立专项法律服务，包括但不限于：尽职调查、风险评估报告、提供方案、参与谈判、出具法律意见书等的计件收费报价：____ 元/件。</w:t>
      </w:r>
    </w:p>
    <w:p w14:paraId="1A739D39">
      <w:pPr>
        <w:spacing w:line="440" w:lineRule="exact"/>
        <w:ind w:firstLine="480" w:firstLineChars="200"/>
        <w:rPr>
          <w:rFonts w:ascii="Times New Roman" w:hAnsi="Times New Roman" w:eastAsia="方正仿宋_GBK" w:cs="Times New Roman"/>
          <w:sz w:val="24"/>
        </w:rPr>
      </w:pPr>
    </w:p>
    <w:p w14:paraId="5FE8739A">
      <w:pPr>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参选人承诺： 在法律顾问服务期限内，参选人应当按照以上收费报价进行报价，采购人以参选人提供的收费报价及收费模式为参考，结合项目实际情况，以协商方式确定最终具体收费。</w:t>
      </w:r>
    </w:p>
    <w:p w14:paraId="7F76B6FE">
      <w:pPr>
        <w:spacing w:line="440" w:lineRule="exact"/>
        <w:ind w:left="4771" w:leftChars="2272"/>
        <w:rPr>
          <w:rFonts w:ascii="方正黑体简体" w:hAnsi="方正黑体简体" w:eastAsia="方正黑体简体" w:cs="方正黑体简体"/>
          <w:sz w:val="30"/>
          <w:szCs w:val="30"/>
        </w:rPr>
      </w:pPr>
      <w:r>
        <w:rPr>
          <w:rFonts w:ascii="Times New Roman" w:hAnsi="Times New Roman" w:eastAsia="方正仿宋_GBK" w:cs="Times New Roman"/>
          <w:sz w:val="24"/>
        </w:rPr>
        <w:t>参选人（盖章）：</w:t>
      </w:r>
      <w:r>
        <w:rPr>
          <w:rFonts w:ascii="Times New Roman" w:hAnsi="Times New Roman" w:eastAsia="方正仿宋_GBK" w:cs="Times New Roman"/>
          <w:sz w:val="24"/>
        </w:rPr>
        <w:br w:type="textWrapping"/>
      </w:r>
      <w:r>
        <w:rPr>
          <w:rFonts w:ascii="Times New Roman" w:hAnsi="Times New Roman" w:eastAsia="方正仿宋_GBK" w:cs="Times New Roman"/>
          <w:sz w:val="24"/>
        </w:rPr>
        <w:t>授权代表（签字）：</w:t>
      </w:r>
      <w:r>
        <w:rPr>
          <w:rFonts w:ascii="Times New Roman" w:hAnsi="Times New Roman" w:eastAsia="方正仿宋_GBK" w:cs="Times New Roman"/>
          <w:sz w:val="24"/>
        </w:rPr>
        <w:br w:type="textWrapping"/>
      </w:r>
      <w:r>
        <w:rPr>
          <w:rFonts w:ascii="Times New Roman" w:hAnsi="Times New Roman" w:eastAsia="方正仿宋_GBK" w:cs="Times New Roman"/>
          <w:sz w:val="24"/>
        </w:rPr>
        <w:t>日 期：</w:t>
      </w:r>
    </w:p>
    <w:p w14:paraId="6342221F">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六、项目服务团队组成</w:t>
      </w:r>
    </w:p>
    <w:p w14:paraId="04FD931C"/>
    <w:p w14:paraId="1BF05030"/>
    <w:tbl>
      <w:tblPr>
        <w:tblStyle w:val="8"/>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590"/>
        <w:gridCol w:w="1350"/>
        <w:gridCol w:w="2722"/>
        <w:gridCol w:w="1412"/>
        <w:gridCol w:w="1836"/>
      </w:tblGrid>
      <w:tr w14:paraId="658A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491" w:type="dxa"/>
            <w:gridSpan w:val="6"/>
            <w:tcBorders>
              <w:tl2br w:val="nil"/>
              <w:tr2bl w:val="nil"/>
            </w:tcBorders>
          </w:tcPr>
          <w:p w14:paraId="44FF2392">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律师事务所名称：</w:t>
            </w:r>
          </w:p>
        </w:tc>
      </w:tr>
      <w:tr w14:paraId="440D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restart"/>
            <w:tcBorders>
              <w:tl2br w:val="nil"/>
              <w:tr2bl w:val="nil"/>
            </w:tcBorders>
            <w:vAlign w:val="center"/>
          </w:tcPr>
          <w:p w14:paraId="7D8A8336">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团队负责人</w:t>
            </w:r>
          </w:p>
        </w:tc>
        <w:tc>
          <w:tcPr>
            <w:tcW w:w="1350" w:type="dxa"/>
            <w:tcBorders>
              <w:tl2br w:val="nil"/>
              <w:tr2bl w:val="nil"/>
            </w:tcBorders>
            <w:vAlign w:val="center"/>
          </w:tcPr>
          <w:p w14:paraId="2F7B887A">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律师姓名</w:t>
            </w:r>
          </w:p>
        </w:tc>
        <w:tc>
          <w:tcPr>
            <w:tcW w:w="2722" w:type="dxa"/>
            <w:tcBorders>
              <w:tl2br w:val="nil"/>
              <w:tr2bl w:val="nil"/>
            </w:tcBorders>
            <w:vAlign w:val="center"/>
          </w:tcPr>
          <w:p w14:paraId="00B2E321">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专业领域</w:t>
            </w:r>
          </w:p>
        </w:tc>
        <w:tc>
          <w:tcPr>
            <w:tcW w:w="1412" w:type="dxa"/>
            <w:tcBorders>
              <w:tl2br w:val="nil"/>
              <w:tr2bl w:val="nil"/>
            </w:tcBorders>
            <w:vAlign w:val="center"/>
          </w:tcPr>
          <w:p w14:paraId="048628F9">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从业年限</w:t>
            </w:r>
          </w:p>
        </w:tc>
        <w:tc>
          <w:tcPr>
            <w:tcW w:w="1836" w:type="dxa"/>
            <w:tcBorders>
              <w:tl2br w:val="nil"/>
              <w:tr2bl w:val="nil"/>
            </w:tcBorders>
            <w:vAlign w:val="center"/>
          </w:tcPr>
          <w:p w14:paraId="515271B0">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w:t>
            </w:r>
          </w:p>
        </w:tc>
      </w:tr>
      <w:tr w14:paraId="4EB7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continue"/>
            <w:tcBorders>
              <w:tl2br w:val="nil"/>
              <w:tr2bl w:val="nil"/>
            </w:tcBorders>
            <w:vAlign w:val="center"/>
          </w:tcPr>
          <w:p w14:paraId="35DB0470">
            <w:pPr>
              <w:rPr>
                <w:rFonts w:ascii="方正仿宋_GBK" w:hAnsi="方正仿宋_GBK" w:eastAsia="方正仿宋_GBK" w:cs="方正仿宋_GBK"/>
                <w:sz w:val="28"/>
                <w:szCs w:val="28"/>
              </w:rPr>
            </w:pPr>
          </w:p>
        </w:tc>
        <w:tc>
          <w:tcPr>
            <w:tcW w:w="1350" w:type="dxa"/>
            <w:tcBorders>
              <w:tl2br w:val="nil"/>
              <w:tr2bl w:val="nil"/>
            </w:tcBorders>
            <w:vAlign w:val="center"/>
          </w:tcPr>
          <w:p w14:paraId="03B70828">
            <w:pPr>
              <w:rPr>
                <w:rFonts w:ascii="方正仿宋_GBK" w:hAnsi="方正仿宋_GBK" w:eastAsia="方正仿宋_GBK" w:cs="方正仿宋_GBK"/>
                <w:sz w:val="28"/>
                <w:szCs w:val="28"/>
              </w:rPr>
            </w:pPr>
          </w:p>
        </w:tc>
        <w:tc>
          <w:tcPr>
            <w:tcW w:w="2722" w:type="dxa"/>
            <w:tcBorders>
              <w:tl2br w:val="nil"/>
              <w:tr2bl w:val="nil"/>
            </w:tcBorders>
            <w:vAlign w:val="center"/>
          </w:tcPr>
          <w:p w14:paraId="26B97EB2">
            <w:pPr>
              <w:rPr>
                <w:rFonts w:ascii="方正仿宋_GBK" w:hAnsi="方正仿宋_GBK" w:eastAsia="方正仿宋_GBK" w:cs="方正仿宋_GBK"/>
                <w:sz w:val="28"/>
                <w:szCs w:val="28"/>
              </w:rPr>
            </w:pPr>
          </w:p>
        </w:tc>
        <w:tc>
          <w:tcPr>
            <w:tcW w:w="1412" w:type="dxa"/>
            <w:tcBorders>
              <w:tl2br w:val="nil"/>
              <w:tr2bl w:val="nil"/>
            </w:tcBorders>
            <w:vAlign w:val="center"/>
          </w:tcPr>
          <w:p w14:paraId="5B63A022">
            <w:pPr>
              <w:rPr>
                <w:rFonts w:ascii="方正仿宋_GBK" w:hAnsi="方正仿宋_GBK" w:eastAsia="方正仿宋_GBK" w:cs="方正仿宋_GBK"/>
                <w:sz w:val="28"/>
                <w:szCs w:val="28"/>
              </w:rPr>
            </w:pPr>
          </w:p>
        </w:tc>
        <w:tc>
          <w:tcPr>
            <w:tcW w:w="1836" w:type="dxa"/>
            <w:tcBorders>
              <w:tl2br w:val="nil"/>
              <w:tr2bl w:val="nil"/>
            </w:tcBorders>
            <w:vAlign w:val="center"/>
          </w:tcPr>
          <w:p w14:paraId="45FF6D0C">
            <w:pPr>
              <w:rPr>
                <w:rFonts w:ascii="方正仿宋_GBK" w:hAnsi="方正仿宋_GBK" w:eastAsia="方正仿宋_GBK" w:cs="方正仿宋_GBK"/>
                <w:sz w:val="28"/>
                <w:szCs w:val="28"/>
              </w:rPr>
            </w:pPr>
          </w:p>
        </w:tc>
      </w:tr>
      <w:tr w14:paraId="35FF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restart"/>
            <w:tcBorders>
              <w:tl2br w:val="nil"/>
              <w:tr2bl w:val="nil"/>
            </w:tcBorders>
            <w:vAlign w:val="center"/>
          </w:tcPr>
          <w:p w14:paraId="103332E4">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服务执行团队</w:t>
            </w:r>
          </w:p>
        </w:tc>
        <w:tc>
          <w:tcPr>
            <w:tcW w:w="1350" w:type="dxa"/>
            <w:tcBorders>
              <w:tl2br w:val="nil"/>
              <w:tr2bl w:val="nil"/>
            </w:tcBorders>
            <w:vAlign w:val="center"/>
          </w:tcPr>
          <w:p w14:paraId="7864C66B">
            <w:pPr>
              <w:rPr>
                <w:rFonts w:ascii="方正仿宋_GBK" w:hAnsi="方正仿宋_GBK" w:eastAsia="方正仿宋_GBK" w:cs="方正仿宋_GBK"/>
                <w:sz w:val="28"/>
                <w:szCs w:val="28"/>
              </w:rPr>
            </w:pPr>
          </w:p>
        </w:tc>
        <w:tc>
          <w:tcPr>
            <w:tcW w:w="2722" w:type="dxa"/>
            <w:tcBorders>
              <w:tl2br w:val="nil"/>
              <w:tr2bl w:val="nil"/>
            </w:tcBorders>
            <w:vAlign w:val="center"/>
          </w:tcPr>
          <w:p w14:paraId="35E51CEF">
            <w:pPr>
              <w:rPr>
                <w:rFonts w:ascii="方正仿宋_GBK" w:hAnsi="方正仿宋_GBK" w:eastAsia="方正仿宋_GBK" w:cs="方正仿宋_GBK"/>
                <w:sz w:val="28"/>
                <w:szCs w:val="28"/>
              </w:rPr>
            </w:pPr>
          </w:p>
        </w:tc>
        <w:tc>
          <w:tcPr>
            <w:tcW w:w="1412" w:type="dxa"/>
            <w:tcBorders>
              <w:tl2br w:val="nil"/>
              <w:tr2bl w:val="nil"/>
            </w:tcBorders>
            <w:vAlign w:val="center"/>
          </w:tcPr>
          <w:p w14:paraId="4336E891">
            <w:pPr>
              <w:rPr>
                <w:rFonts w:ascii="方正仿宋_GBK" w:hAnsi="方正仿宋_GBK" w:eastAsia="方正仿宋_GBK" w:cs="方正仿宋_GBK"/>
                <w:sz w:val="28"/>
                <w:szCs w:val="28"/>
              </w:rPr>
            </w:pPr>
          </w:p>
        </w:tc>
        <w:tc>
          <w:tcPr>
            <w:tcW w:w="1836" w:type="dxa"/>
            <w:tcBorders>
              <w:tl2br w:val="nil"/>
              <w:tr2bl w:val="nil"/>
            </w:tcBorders>
            <w:vAlign w:val="center"/>
          </w:tcPr>
          <w:p w14:paraId="764841A9">
            <w:pPr>
              <w:rPr>
                <w:rFonts w:ascii="方正仿宋_GBK" w:hAnsi="方正仿宋_GBK" w:eastAsia="方正仿宋_GBK" w:cs="方正仿宋_GBK"/>
                <w:sz w:val="28"/>
                <w:szCs w:val="28"/>
              </w:rPr>
            </w:pPr>
          </w:p>
        </w:tc>
      </w:tr>
      <w:tr w14:paraId="0AA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continue"/>
            <w:tcBorders>
              <w:tl2br w:val="nil"/>
              <w:tr2bl w:val="nil"/>
            </w:tcBorders>
            <w:vAlign w:val="center"/>
          </w:tcPr>
          <w:p w14:paraId="73633012">
            <w:pPr>
              <w:rPr>
                <w:rFonts w:ascii="方正仿宋_GBK" w:hAnsi="方正仿宋_GBK" w:eastAsia="方正仿宋_GBK" w:cs="方正仿宋_GBK"/>
                <w:sz w:val="28"/>
                <w:szCs w:val="28"/>
              </w:rPr>
            </w:pPr>
          </w:p>
        </w:tc>
        <w:tc>
          <w:tcPr>
            <w:tcW w:w="1350" w:type="dxa"/>
            <w:tcBorders>
              <w:tl2br w:val="nil"/>
              <w:tr2bl w:val="nil"/>
            </w:tcBorders>
            <w:vAlign w:val="center"/>
          </w:tcPr>
          <w:p w14:paraId="33F27647">
            <w:pPr>
              <w:rPr>
                <w:rFonts w:ascii="方正仿宋_GBK" w:hAnsi="方正仿宋_GBK" w:eastAsia="方正仿宋_GBK" w:cs="方正仿宋_GBK"/>
                <w:sz w:val="28"/>
                <w:szCs w:val="28"/>
              </w:rPr>
            </w:pPr>
          </w:p>
        </w:tc>
        <w:tc>
          <w:tcPr>
            <w:tcW w:w="2722" w:type="dxa"/>
            <w:tcBorders>
              <w:tl2br w:val="nil"/>
              <w:tr2bl w:val="nil"/>
            </w:tcBorders>
            <w:vAlign w:val="center"/>
          </w:tcPr>
          <w:p w14:paraId="7392AF7C">
            <w:pPr>
              <w:rPr>
                <w:rFonts w:ascii="方正仿宋_GBK" w:hAnsi="方正仿宋_GBK" w:eastAsia="方正仿宋_GBK" w:cs="方正仿宋_GBK"/>
                <w:sz w:val="28"/>
                <w:szCs w:val="28"/>
              </w:rPr>
            </w:pPr>
          </w:p>
        </w:tc>
        <w:tc>
          <w:tcPr>
            <w:tcW w:w="1412" w:type="dxa"/>
            <w:tcBorders>
              <w:tl2br w:val="nil"/>
              <w:tr2bl w:val="nil"/>
            </w:tcBorders>
            <w:vAlign w:val="center"/>
          </w:tcPr>
          <w:p w14:paraId="60E5F442">
            <w:pPr>
              <w:rPr>
                <w:rFonts w:ascii="方正仿宋_GBK" w:hAnsi="方正仿宋_GBK" w:eastAsia="方正仿宋_GBK" w:cs="方正仿宋_GBK"/>
                <w:sz w:val="28"/>
                <w:szCs w:val="28"/>
              </w:rPr>
            </w:pPr>
          </w:p>
        </w:tc>
        <w:tc>
          <w:tcPr>
            <w:tcW w:w="1836" w:type="dxa"/>
            <w:tcBorders>
              <w:tl2br w:val="nil"/>
              <w:tr2bl w:val="nil"/>
            </w:tcBorders>
            <w:vAlign w:val="center"/>
          </w:tcPr>
          <w:p w14:paraId="537F5732">
            <w:pPr>
              <w:rPr>
                <w:rFonts w:ascii="方正仿宋_GBK" w:hAnsi="方正仿宋_GBK" w:eastAsia="方正仿宋_GBK" w:cs="方正仿宋_GBK"/>
                <w:sz w:val="28"/>
                <w:szCs w:val="28"/>
              </w:rPr>
            </w:pPr>
          </w:p>
        </w:tc>
      </w:tr>
      <w:tr w14:paraId="535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continue"/>
            <w:tcBorders>
              <w:tl2br w:val="nil"/>
              <w:tr2bl w:val="nil"/>
            </w:tcBorders>
            <w:vAlign w:val="center"/>
          </w:tcPr>
          <w:p w14:paraId="07225F27">
            <w:pPr>
              <w:rPr>
                <w:rFonts w:ascii="方正仿宋_GBK" w:hAnsi="方正仿宋_GBK" w:eastAsia="方正仿宋_GBK" w:cs="方正仿宋_GBK"/>
                <w:sz w:val="28"/>
                <w:szCs w:val="28"/>
              </w:rPr>
            </w:pPr>
          </w:p>
        </w:tc>
        <w:tc>
          <w:tcPr>
            <w:tcW w:w="1350" w:type="dxa"/>
            <w:tcBorders>
              <w:tl2br w:val="nil"/>
              <w:tr2bl w:val="nil"/>
            </w:tcBorders>
            <w:vAlign w:val="center"/>
          </w:tcPr>
          <w:p w14:paraId="5F54FAE2">
            <w:pPr>
              <w:rPr>
                <w:rFonts w:ascii="方正仿宋_GBK" w:hAnsi="方正仿宋_GBK" w:eastAsia="方正仿宋_GBK" w:cs="方正仿宋_GBK"/>
                <w:sz w:val="28"/>
                <w:szCs w:val="28"/>
              </w:rPr>
            </w:pPr>
          </w:p>
        </w:tc>
        <w:tc>
          <w:tcPr>
            <w:tcW w:w="2722" w:type="dxa"/>
            <w:tcBorders>
              <w:tl2br w:val="nil"/>
              <w:tr2bl w:val="nil"/>
            </w:tcBorders>
            <w:vAlign w:val="center"/>
          </w:tcPr>
          <w:p w14:paraId="3C07930E">
            <w:pPr>
              <w:rPr>
                <w:rFonts w:ascii="方正仿宋_GBK" w:hAnsi="方正仿宋_GBK" w:eastAsia="方正仿宋_GBK" w:cs="方正仿宋_GBK"/>
                <w:sz w:val="28"/>
                <w:szCs w:val="28"/>
              </w:rPr>
            </w:pPr>
          </w:p>
        </w:tc>
        <w:tc>
          <w:tcPr>
            <w:tcW w:w="1412" w:type="dxa"/>
            <w:tcBorders>
              <w:tl2br w:val="nil"/>
              <w:tr2bl w:val="nil"/>
            </w:tcBorders>
            <w:vAlign w:val="center"/>
          </w:tcPr>
          <w:p w14:paraId="0F2BBB45">
            <w:pPr>
              <w:rPr>
                <w:rFonts w:ascii="方正仿宋_GBK" w:hAnsi="方正仿宋_GBK" w:eastAsia="方正仿宋_GBK" w:cs="方正仿宋_GBK"/>
                <w:sz w:val="28"/>
                <w:szCs w:val="28"/>
              </w:rPr>
            </w:pPr>
          </w:p>
        </w:tc>
        <w:tc>
          <w:tcPr>
            <w:tcW w:w="1836" w:type="dxa"/>
            <w:tcBorders>
              <w:tl2br w:val="nil"/>
              <w:tr2bl w:val="nil"/>
            </w:tcBorders>
            <w:vAlign w:val="center"/>
          </w:tcPr>
          <w:p w14:paraId="76454FB8">
            <w:pPr>
              <w:rPr>
                <w:rFonts w:ascii="方正仿宋_GBK" w:hAnsi="方正仿宋_GBK" w:eastAsia="方正仿宋_GBK" w:cs="方正仿宋_GBK"/>
                <w:sz w:val="28"/>
                <w:szCs w:val="28"/>
              </w:rPr>
            </w:pPr>
          </w:p>
        </w:tc>
      </w:tr>
      <w:tr w14:paraId="0CFC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gridSpan w:val="2"/>
            <w:vMerge w:val="continue"/>
            <w:tcBorders>
              <w:tl2br w:val="nil"/>
              <w:tr2bl w:val="nil"/>
            </w:tcBorders>
            <w:vAlign w:val="center"/>
          </w:tcPr>
          <w:p w14:paraId="1D9EC953">
            <w:pPr>
              <w:rPr>
                <w:rFonts w:ascii="方正仿宋_GBK" w:hAnsi="方正仿宋_GBK" w:eastAsia="方正仿宋_GBK" w:cs="方正仿宋_GBK"/>
                <w:sz w:val="28"/>
                <w:szCs w:val="28"/>
              </w:rPr>
            </w:pPr>
          </w:p>
        </w:tc>
        <w:tc>
          <w:tcPr>
            <w:tcW w:w="1350" w:type="dxa"/>
            <w:tcBorders>
              <w:tl2br w:val="nil"/>
              <w:tr2bl w:val="nil"/>
            </w:tcBorders>
            <w:vAlign w:val="center"/>
          </w:tcPr>
          <w:p w14:paraId="23B83A93">
            <w:pPr>
              <w:rPr>
                <w:rFonts w:ascii="方正仿宋_GBK" w:hAnsi="方正仿宋_GBK" w:eastAsia="方正仿宋_GBK" w:cs="方正仿宋_GBK"/>
                <w:sz w:val="28"/>
                <w:szCs w:val="28"/>
              </w:rPr>
            </w:pPr>
          </w:p>
        </w:tc>
        <w:tc>
          <w:tcPr>
            <w:tcW w:w="2722" w:type="dxa"/>
            <w:tcBorders>
              <w:tl2br w:val="nil"/>
              <w:tr2bl w:val="nil"/>
            </w:tcBorders>
            <w:vAlign w:val="center"/>
          </w:tcPr>
          <w:p w14:paraId="579C650B">
            <w:pPr>
              <w:rPr>
                <w:rFonts w:ascii="方正仿宋_GBK" w:hAnsi="方正仿宋_GBK" w:eastAsia="方正仿宋_GBK" w:cs="方正仿宋_GBK"/>
                <w:sz w:val="28"/>
                <w:szCs w:val="28"/>
              </w:rPr>
            </w:pPr>
          </w:p>
        </w:tc>
        <w:tc>
          <w:tcPr>
            <w:tcW w:w="1412" w:type="dxa"/>
            <w:tcBorders>
              <w:tl2br w:val="nil"/>
              <w:tr2bl w:val="nil"/>
            </w:tcBorders>
            <w:vAlign w:val="center"/>
          </w:tcPr>
          <w:p w14:paraId="7516AAD3">
            <w:pPr>
              <w:rPr>
                <w:rFonts w:ascii="方正仿宋_GBK" w:hAnsi="方正仿宋_GBK" w:eastAsia="方正仿宋_GBK" w:cs="方正仿宋_GBK"/>
                <w:sz w:val="28"/>
                <w:szCs w:val="28"/>
              </w:rPr>
            </w:pPr>
          </w:p>
        </w:tc>
        <w:tc>
          <w:tcPr>
            <w:tcW w:w="1836" w:type="dxa"/>
            <w:tcBorders>
              <w:tl2br w:val="nil"/>
              <w:tr2bl w:val="nil"/>
            </w:tcBorders>
            <w:vAlign w:val="center"/>
          </w:tcPr>
          <w:p w14:paraId="4B79708E">
            <w:pPr>
              <w:rPr>
                <w:rFonts w:ascii="方正仿宋_GBK" w:hAnsi="方正仿宋_GBK" w:eastAsia="方正仿宋_GBK" w:cs="方正仿宋_GBK"/>
                <w:sz w:val="28"/>
                <w:szCs w:val="28"/>
              </w:rPr>
            </w:pPr>
          </w:p>
        </w:tc>
      </w:tr>
      <w:tr w14:paraId="4C9F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81" w:type="dxa"/>
            <w:vMerge w:val="restart"/>
            <w:tcBorders>
              <w:tl2br w:val="nil"/>
              <w:tr2bl w:val="nil"/>
            </w:tcBorders>
            <w:vAlign w:val="center"/>
          </w:tcPr>
          <w:p w14:paraId="4C8B6425">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服务保障团队</w:t>
            </w:r>
          </w:p>
        </w:tc>
        <w:tc>
          <w:tcPr>
            <w:tcW w:w="1590" w:type="dxa"/>
            <w:vMerge w:val="restart"/>
            <w:tcBorders>
              <w:tl2br w:val="nil"/>
              <w:tr2bl w:val="nil"/>
            </w:tcBorders>
            <w:vAlign w:val="center"/>
          </w:tcPr>
          <w:p w14:paraId="6CC1A8A5">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知识产权</w:t>
            </w:r>
          </w:p>
        </w:tc>
        <w:tc>
          <w:tcPr>
            <w:tcW w:w="1350" w:type="dxa"/>
            <w:tcBorders>
              <w:tl2br w:val="nil"/>
              <w:tr2bl w:val="nil"/>
            </w:tcBorders>
            <w:vAlign w:val="center"/>
          </w:tcPr>
          <w:p w14:paraId="00ACA908">
            <w:pPr>
              <w:rPr>
                <w:rFonts w:ascii="方正仿宋_GBK" w:hAnsi="方正仿宋_GBK" w:eastAsia="方正仿宋_GBK" w:cs="方正仿宋_GBK"/>
                <w:sz w:val="28"/>
                <w:szCs w:val="28"/>
              </w:rPr>
            </w:pPr>
          </w:p>
        </w:tc>
        <w:tc>
          <w:tcPr>
            <w:tcW w:w="2722" w:type="dxa"/>
            <w:tcBorders>
              <w:tl2br w:val="nil"/>
              <w:tr2bl w:val="nil"/>
            </w:tcBorders>
            <w:vAlign w:val="center"/>
          </w:tcPr>
          <w:p w14:paraId="18590BD0">
            <w:pPr>
              <w:rPr>
                <w:rFonts w:ascii="方正仿宋_GBK" w:hAnsi="方正仿宋_GBK" w:eastAsia="方正仿宋_GBK" w:cs="方正仿宋_GBK"/>
                <w:sz w:val="28"/>
                <w:szCs w:val="28"/>
              </w:rPr>
            </w:pPr>
          </w:p>
        </w:tc>
        <w:tc>
          <w:tcPr>
            <w:tcW w:w="1412" w:type="dxa"/>
            <w:tcBorders>
              <w:tl2br w:val="nil"/>
              <w:tr2bl w:val="nil"/>
            </w:tcBorders>
            <w:vAlign w:val="center"/>
          </w:tcPr>
          <w:p w14:paraId="7A88E94D">
            <w:pPr>
              <w:rPr>
                <w:rFonts w:ascii="方正仿宋_GBK" w:hAnsi="方正仿宋_GBK" w:eastAsia="方正仿宋_GBK" w:cs="方正仿宋_GBK"/>
                <w:sz w:val="28"/>
                <w:szCs w:val="28"/>
              </w:rPr>
            </w:pPr>
          </w:p>
        </w:tc>
        <w:tc>
          <w:tcPr>
            <w:tcW w:w="1836" w:type="dxa"/>
            <w:tcBorders>
              <w:tl2br w:val="nil"/>
              <w:tr2bl w:val="nil"/>
            </w:tcBorders>
            <w:vAlign w:val="center"/>
          </w:tcPr>
          <w:p w14:paraId="0E7BFEE1">
            <w:pPr>
              <w:rPr>
                <w:rFonts w:ascii="方正仿宋_GBK" w:hAnsi="方正仿宋_GBK" w:eastAsia="方正仿宋_GBK" w:cs="方正仿宋_GBK"/>
                <w:sz w:val="28"/>
                <w:szCs w:val="28"/>
              </w:rPr>
            </w:pPr>
          </w:p>
        </w:tc>
      </w:tr>
      <w:tr w14:paraId="048A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581" w:type="dxa"/>
            <w:vMerge w:val="continue"/>
            <w:tcBorders>
              <w:tl2br w:val="nil"/>
              <w:tr2bl w:val="nil"/>
            </w:tcBorders>
            <w:vAlign w:val="center"/>
          </w:tcPr>
          <w:p w14:paraId="0AB70959">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073C5193">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1E5F6E38">
            <w:pPr>
              <w:rPr>
                <w:rFonts w:ascii="方正仿宋_GBK" w:hAnsi="方正仿宋_GBK" w:eastAsia="方正仿宋_GBK" w:cs="方正仿宋_GBK"/>
                <w:sz w:val="28"/>
                <w:szCs w:val="28"/>
              </w:rPr>
            </w:pPr>
          </w:p>
        </w:tc>
        <w:tc>
          <w:tcPr>
            <w:tcW w:w="2722" w:type="dxa"/>
            <w:tcBorders>
              <w:tl2br w:val="nil"/>
              <w:tr2bl w:val="nil"/>
            </w:tcBorders>
            <w:vAlign w:val="center"/>
          </w:tcPr>
          <w:p w14:paraId="372FFE0A">
            <w:pPr>
              <w:rPr>
                <w:rFonts w:ascii="方正仿宋_GBK" w:hAnsi="方正仿宋_GBK" w:eastAsia="方正仿宋_GBK" w:cs="方正仿宋_GBK"/>
                <w:sz w:val="28"/>
                <w:szCs w:val="28"/>
              </w:rPr>
            </w:pPr>
          </w:p>
        </w:tc>
        <w:tc>
          <w:tcPr>
            <w:tcW w:w="1412" w:type="dxa"/>
            <w:tcBorders>
              <w:tl2br w:val="nil"/>
              <w:tr2bl w:val="nil"/>
            </w:tcBorders>
            <w:vAlign w:val="center"/>
          </w:tcPr>
          <w:p w14:paraId="4844E245">
            <w:pPr>
              <w:rPr>
                <w:rFonts w:ascii="方正仿宋_GBK" w:hAnsi="方正仿宋_GBK" w:eastAsia="方正仿宋_GBK" w:cs="方正仿宋_GBK"/>
                <w:sz w:val="28"/>
                <w:szCs w:val="28"/>
              </w:rPr>
            </w:pPr>
          </w:p>
        </w:tc>
        <w:tc>
          <w:tcPr>
            <w:tcW w:w="1836" w:type="dxa"/>
            <w:tcBorders>
              <w:tl2br w:val="nil"/>
              <w:tr2bl w:val="nil"/>
            </w:tcBorders>
            <w:vAlign w:val="center"/>
          </w:tcPr>
          <w:p w14:paraId="5AC5E7B6">
            <w:pPr>
              <w:rPr>
                <w:rFonts w:ascii="方正仿宋_GBK" w:hAnsi="方正仿宋_GBK" w:eastAsia="方正仿宋_GBK" w:cs="方正仿宋_GBK"/>
                <w:sz w:val="28"/>
                <w:szCs w:val="28"/>
              </w:rPr>
            </w:pPr>
          </w:p>
        </w:tc>
      </w:tr>
      <w:tr w14:paraId="4C56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581" w:type="dxa"/>
            <w:vMerge w:val="continue"/>
            <w:tcBorders>
              <w:tl2br w:val="nil"/>
              <w:tr2bl w:val="nil"/>
            </w:tcBorders>
            <w:vAlign w:val="center"/>
          </w:tcPr>
          <w:p w14:paraId="322BBE69">
            <w:pPr>
              <w:spacing w:line="440" w:lineRule="exact"/>
              <w:rPr>
                <w:rFonts w:ascii="方正仿宋_GBK" w:hAnsi="方正仿宋_GBK" w:eastAsia="方正仿宋_GBK" w:cs="方正仿宋_GBK"/>
                <w:sz w:val="28"/>
                <w:szCs w:val="28"/>
              </w:rPr>
            </w:pPr>
          </w:p>
        </w:tc>
        <w:tc>
          <w:tcPr>
            <w:tcW w:w="1590" w:type="dxa"/>
            <w:vMerge w:val="restart"/>
            <w:tcBorders>
              <w:tl2br w:val="nil"/>
              <w:tr2bl w:val="nil"/>
            </w:tcBorders>
            <w:vAlign w:val="center"/>
          </w:tcPr>
          <w:p w14:paraId="173B2CB6">
            <w:pPr>
              <w:spacing w:line="3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公司法人治理及企业改制</w:t>
            </w:r>
          </w:p>
        </w:tc>
        <w:tc>
          <w:tcPr>
            <w:tcW w:w="1350" w:type="dxa"/>
            <w:tcBorders>
              <w:tl2br w:val="nil"/>
              <w:tr2bl w:val="nil"/>
            </w:tcBorders>
            <w:vAlign w:val="center"/>
          </w:tcPr>
          <w:p w14:paraId="3A1231C6">
            <w:pPr>
              <w:rPr>
                <w:rFonts w:ascii="方正仿宋_GBK" w:hAnsi="方正仿宋_GBK" w:eastAsia="方正仿宋_GBK" w:cs="方正仿宋_GBK"/>
                <w:sz w:val="28"/>
                <w:szCs w:val="28"/>
              </w:rPr>
            </w:pPr>
          </w:p>
        </w:tc>
        <w:tc>
          <w:tcPr>
            <w:tcW w:w="2722" w:type="dxa"/>
            <w:tcBorders>
              <w:tl2br w:val="nil"/>
              <w:tr2bl w:val="nil"/>
            </w:tcBorders>
            <w:vAlign w:val="center"/>
          </w:tcPr>
          <w:p w14:paraId="50F10B1F">
            <w:pPr>
              <w:rPr>
                <w:rFonts w:ascii="方正仿宋_GBK" w:hAnsi="方正仿宋_GBK" w:eastAsia="方正仿宋_GBK" w:cs="方正仿宋_GBK"/>
                <w:sz w:val="28"/>
                <w:szCs w:val="28"/>
              </w:rPr>
            </w:pPr>
          </w:p>
        </w:tc>
        <w:tc>
          <w:tcPr>
            <w:tcW w:w="1412" w:type="dxa"/>
            <w:tcBorders>
              <w:tl2br w:val="nil"/>
              <w:tr2bl w:val="nil"/>
            </w:tcBorders>
            <w:vAlign w:val="center"/>
          </w:tcPr>
          <w:p w14:paraId="6409483D">
            <w:pPr>
              <w:rPr>
                <w:rFonts w:ascii="方正仿宋_GBK" w:hAnsi="方正仿宋_GBK" w:eastAsia="方正仿宋_GBK" w:cs="方正仿宋_GBK"/>
                <w:sz w:val="28"/>
                <w:szCs w:val="28"/>
              </w:rPr>
            </w:pPr>
          </w:p>
        </w:tc>
        <w:tc>
          <w:tcPr>
            <w:tcW w:w="1836" w:type="dxa"/>
            <w:tcBorders>
              <w:tl2br w:val="nil"/>
              <w:tr2bl w:val="nil"/>
            </w:tcBorders>
            <w:vAlign w:val="center"/>
          </w:tcPr>
          <w:p w14:paraId="74B80A92">
            <w:pPr>
              <w:rPr>
                <w:rFonts w:ascii="方正仿宋_GBK" w:hAnsi="方正仿宋_GBK" w:eastAsia="方正仿宋_GBK" w:cs="方正仿宋_GBK"/>
                <w:sz w:val="28"/>
                <w:szCs w:val="28"/>
              </w:rPr>
            </w:pPr>
          </w:p>
        </w:tc>
      </w:tr>
      <w:tr w14:paraId="6D80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581" w:type="dxa"/>
            <w:vMerge w:val="continue"/>
            <w:tcBorders>
              <w:tl2br w:val="nil"/>
              <w:tr2bl w:val="nil"/>
            </w:tcBorders>
            <w:vAlign w:val="center"/>
          </w:tcPr>
          <w:p w14:paraId="0AA5A5B9">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4EA2672D">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13BA50A3">
            <w:pPr>
              <w:rPr>
                <w:rFonts w:ascii="方正仿宋_GBK" w:hAnsi="方正仿宋_GBK" w:eastAsia="方正仿宋_GBK" w:cs="方正仿宋_GBK"/>
                <w:sz w:val="28"/>
                <w:szCs w:val="28"/>
              </w:rPr>
            </w:pPr>
          </w:p>
        </w:tc>
        <w:tc>
          <w:tcPr>
            <w:tcW w:w="2722" w:type="dxa"/>
            <w:tcBorders>
              <w:tl2br w:val="nil"/>
              <w:tr2bl w:val="nil"/>
            </w:tcBorders>
            <w:vAlign w:val="center"/>
          </w:tcPr>
          <w:p w14:paraId="1BB9F9A8">
            <w:pPr>
              <w:rPr>
                <w:rFonts w:ascii="方正仿宋_GBK" w:hAnsi="方正仿宋_GBK" w:eastAsia="方正仿宋_GBK" w:cs="方正仿宋_GBK"/>
                <w:sz w:val="28"/>
                <w:szCs w:val="28"/>
              </w:rPr>
            </w:pPr>
          </w:p>
        </w:tc>
        <w:tc>
          <w:tcPr>
            <w:tcW w:w="1412" w:type="dxa"/>
            <w:tcBorders>
              <w:tl2br w:val="nil"/>
              <w:tr2bl w:val="nil"/>
            </w:tcBorders>
            <w:vAlign w:val="center"/>
          </w:tcPr>
          <w:p w14:paraId="7B2384F0">
            <w:pPr>
              <w:rPr>
                <w:rFonts w:ascii="方正仿宋_GBK" w:hAnsi="方正仿宋_GBK" w:eastAsia="方正仿宋_GBK" w:cs="方正仿宋_GBK"/>
                <w:sz w:val="28"/>
                <w:szCs w:val="28"/>
              </w:rPr>
            </w:pPr>
          </w:p>
        </w:tc>
        <w:tc>
          <w:tcPr>
            <w:tcW w:w="1836" w:type="dxa"/>
            <w:tcBorders>
              <w:tl2br w:val="nil"/>
              <w:tr2bl w:val="nil"/>
            </w:tcBorders>
            <w:vAlign w:val="center"/>
          </w:tcPr>
          <w:p w14:paraId="4927083F">
            <w:pPr>
              <w:rPr>
                <w:rFonts w:ascii="方正仿宋_GBK" w:hAnsi="方正仿宋_GBK" w:eastAsia="方正仿宋_GBK" w:cs="方正仿宋_GBK"/>
                <w:sz w:val="28"/>
                <w:szCs w:val="28"/>
              </w:rPr>
            </w:pPr>
          </w:p>
        </w:tc>
      </w:tr>
      <w:tr w14:paraId="1B17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581" w:type="dxa"/>
            <w:vMerge w:val="continue"/>
            <w:tcBorders>
              <w:tl2br w:val="nil"/>
              <w:tr2bl w:val="nil"/>
            </w:tcBorders>
            <w:vAlign w:val="center"/>
          </w:tcPr>
          <w:p w14:paraId="6104CB15">
            <w:pPr>
              <w:spacing w:line="440" w:lineRule="exact"/>
              <w:rPr>
                <w:rFonts w:ascii="方正仿宋_GBK" w:hAnsi="方正仿宋_GBK" w:eastAsia="方正仿宋_GBK" w:cs="方正仿宋_GBK"/>
                <w:sz w:val="28"/>
                <w:szCs w:val="28"/>
              </w:rPr>
            </w:pPr>
          </w:p>
        </w:tc>
        <w:tc>
          <w:tcPr>
            <w:tcW w:w="1590" w:type="dxa"/>
            <w:vMerge w:val="restart"/>
            <w:tcBorders>
              <w:tl2br w:val="nil"/>
              <w:tr2bl w:val="nil"/>
            </w:tcBorders>
            <w:vAlign w:val="center"/>
          </w:tcPr>
          <w:p w14:paraId="7359C548">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投融资</w:t>
            </w:r>
          </w:p>
          <w:p w14:paraId="2D6F4630">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及资本运作</w:t>
            </w:r>
          </w:p>
        </w:tc>
        <w:tc>
          <w:tcPr>
            <w:tcW w:w="1350" w:type="dxa"/>
            <w:tcBorders>
              <w:tl2br w:val="nil"/>
              <w:tr2bl w:val="nil"/>
            </w:tcBorders>
            <w:vAlign w:val="center"/>
          </w:tcPr>
          <w:p w14:paraId="16AA2213">
            <w:pPr>
              <w:rPr>
                <w:rFonts w:ascii="方正仿宋_GBK" w:hAnsi="方正仿宋_GBK" w:eastAsia="方正仿宋_GBK" w:cs="方正仿宋_GBK"/>
                <w:sz w:val="28"/>
                <w:szCs w:val="28"/>
              </w:rPr>
            </w:pPr>
          </w:p>
        </w:tc>
        <w:tc>
          <w:tcPr>
            <w:tcW w:w="2722" w:type="dxa"/>
            <w:tcBorders>
              <w:tl2br w:val="nil"/>
              <w:tr2bl w:val="nil"/>
            </w:tcBorders>
            <w:vAlign w:val="center"/>
          </w:tcPr>
          <w:p w14:paraId="326FE596">
            <w:pPr>
              <w:rPr>
                <w:rFonts w:ascii="方正仿宋_GBK" w:hAnsi="方正仿宋_GBK" w:eastAsia="方正仿宋_GBK" w:cs="方正仿宋_GBK"/>
                <w:sz w:val="28"/>
                <w:szCs w:val="28"/>
              </w:rPr>
            </w:pPr>
          </w:p>
        </w:tc>
        <w:tc>
          <w:tcPr>
            <w:tcW w:w="1412" w:type="dxa"/>
            <w:tcBorders>
              <w:tl2br w:val="nil"/>
              <w:tr2bl w:val="nil"/>
            </w:tcBorders>
            <w:vAlign w:val="center"/>
          </w:tcPr>
          <w:p w14:paraId="078DBABA">
            <w:pPr>
              <w:rPr>
                <w:rFonts w:ascii="方正仿宋_GBK" w:hAnsi="方正仿宋_GBK" w:eastAsia="方正仿宋_GBK" w:cs="方正仿宋_GBK"/>
                <w:sz w:val="28"/>
                <w:szCs w:val="28"/>
              </w:rPr>
            </w:pPr>
          </w:p>
        </w:tc>
        <w:tc>
          <w:tcPr>
            <w:tcW w:w="1836" w:type="dxa"/>
            <w:tcBorders>
              <w:tl2br w:val="nil"/>
              <w:tr2bl w:val="nil"/>
            </w:tcBorders>
            <w:vAlign w:val="center"/>
          </w:tcPr>
          <w:p w14:paraId="5F6FEEA4">
            <w:pPr>
              <w:rPr>
                <w:rFonts w:ascii="方正仿宋_GBK" w:hAnsi="方正仿宋_GBK" w:eastAsia="方正仿宋_GBK" w:cs="方正仿宋_GBK"/>
                <w:sz w:val="28"/>
                <w:szCs w:val="28"/>
              </w:rPr>
            </w:pPr>
          </w:p>
        </w:tc>
      </w:tr>
      <w:tr w14:paraId="0113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581" w:type="dxa"/>
            <w:vMerge w:val="continue"/>
            <w:tcBorders>
              <w:tl2br w:val="nil"/>
              <w:tr2bl w:val="nil"/>
            </w:tcBorders>
            <w:vAlign w:val="center"/>
          </w:tcPr>
          <w:p w14:paraId="72DF2D31">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196F8580">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493F1CFB">
            <w:pPr>
              <w:rPr>
                <w:rFonts w:ascii="方正仿宋_GBK" w:hAnsi="方正仿宋_GBK" w:eastAsia="方正仿宋_GBK" w:cs="方正仿宋_GBK"/>
                <w:sz w:val="28"/>
                <w:szCs w:val="28"/>
              </w:rPr>
            </w:pPr>
          </w:p>
        </w:tc>
        <w:tc>
          <w:tcPr>
            <w:tcW w:w="2722" w:type="dxa"/>
            <w:tcBorders>
              <w:tl2br w:val="nil"/>
              <w:tr2bl w:val="nil"/>
            </w:tcBorders>
            <w:vAlign w:val="center"/>
          </w:tcPr>
          <w:p w14:paraId="341584C6">
            <w:pPr>
              <w:rPr>
                <w:rFonts w:ascii="方正仿宋_GBK" w:hAnsi="方正仿宋_GBK" w:eastAsia="方正仿宋_GBK" w:cs="方正仿宋_GBK"/>
                <w:sz w:val="28"/>
                <w:szCs w:val="28"/>
              </w:rPr>
            </w:pPr>
          </w:p>
        </w:tc>
        <w:tc>
          <w:tcPr>
            <w:tcW w:w="1412" w:type="dxa"/>
            <w:tcBorders>
              <w:tl2br w:val="nil"/>
              <w:tr2bl w:val="nil"/>
            </w:tcBorders>
            <w:vAlign w:val="center"/>
          </w:tcPr>
          <w:p w14:paraId="00EF441C">
            <w:pPr>
              <w:rPr>
                <w:rFonts w:ascii="方正仿宋_GBK" w:hAnsi="方正仿宋_GBK" w:eastAsia="方正仿宋_GBK" w:cs="方正仿宋_GBK"/>
                <w:sz w:val="28"/>
                <w:szCs w:val="28"/>
              </w:rPr>
            </w:pPr>
          </w:p>
        </w:tc>
        <w:tc>
          <w:tcPr>
            <w:tcW w:w="1836" w:type="dxa"/>
            <w:tcBorders>
              <w:tl2br w:val="nil"/>
              <w:tr2bl w:val="nil"/>
            </w:tcBorders>
            <w:vAlign w:val="center"/>
          </w:tcPr>
          <w:p w14:paraId="4700CEBB">
            <w:pPr>
              <w:rPr>
                <w:rFonts w:ascii="方正仿宋_GBK" w:hAnsi="方正仿宋_GBK" w:eastAsia="方正仿宋_GBK" w:cs="方正仿宋_GBK"/>
                <w:sz w:val="28"/>
                <w:szCs w:val="28"/>
              </w:rPr>
            </w:pPr>
          </w:p>
        </w:tc>
      </w:tr>
      <w:tr w14:paraId="4AE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581" w:type="dxa"/>
            <w:vMerge w:val="continue"/>
            <w:tcBorders>
              <w:tl2br w:val="nil"/>
              <w:tr2bl w:val="nil"/>
            </w:tcBorders>
            <w:vAlign w:val="center"/>
          </w:tcPr>
          <w:p w14:paraId="07436C7F">
            <w:pPr>
              <w:spacing w:line="440" w:lineRule="exact"/>
              <w:rPr>
                <w:rFonts w:ascii="方正仿宋_GBK" w:hAnsi="方正仿宋_GBK" w:eastAsia="方正仿宋_GBK" w:cs="方正仿宋_GBK"/>
                <w:sz w:val="28"/>
                <w:szCs w:val="28"/>
              </w:rPr>
            </w:pPr>
          </w:p>
        </w:tc>
        <w:tc>
          <w:tcPr>
            <w:tcW w:w="1590" w:type="dxa"/>
            <w:vMerge w:val="restart"/>
            <w:tcBorders>
              <w:tl2br w:val="nil"/>
              <w:tr2bl w:val="nil"/>
            </w:tcBorders>
            <w:vAlign w:val="center"/>
          </w:tcPr>
          <w:p w14:paraId="37FD291D">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w:t>
            </w:r>
          </w:p>
        </w:tc>
        <w:tc>
          <w:tcPr>
            <w:tcW w:w="1350" w:type="dxa"/>
            <w:tcBorders>
              <w:tl2br w:val="nil"/>
              <w:tr2bl w:val="nil"/>
            </w:tcBorders>
            <w:vAlign w:val="center"/>
          </w:tcPr>
          <w:p w14:paraId="0F324294">
            <w:pPr>
              <w:rPr>
                <w:rFonts w:ascii="方正仿宋_GBK" w:hAnsi="方正仿宋_GBK" w:eastAsia="方正仿宋_GBK" w:cs="方正仿宋_GBK"/>
                <w:sz w:val="28"/>
                <w:szCs w:val="28"/>
              </w:rPr>
            </w:pPr>
          </w:p>
        </w:tc>
        <w:tc>
          <w:tcPr>
            <w:tcW w:w="2722" w:type="dxa"/>
            <w:tcBorders>
              <w:tl2br w:val="nil"/>
              <w:tr2bl w:val="nil"/>
            </w:tcBorders>
            <w:vAlign w:val="center"/>
          </w:tcPr>
          <w:p w14:paraId="024440A1">
            <w:pPr>
              <w:rPr>
                <w:rFonts w:ascii="方正仿宋_GBK" w:hAnsi="方正仿宋_GBK" w:eastAsia="方正仿宋_GBK" w:cs="方正仿宋_GBK"/>
                <w:sz w:val="28"/>
                <w:szCs w:val="28"/>
              </w:rPr>
            </w:pPr>
          </w:p>
        </w:tc>
        <w:tc>
          <w:tcPr>
            <w:tcW w:w="1412" w:type="dxa"/>
            <w:tcBorders>
              <w:tl2br w:val="nil"/>
              <w:tr2bl w:val="nil"/>
            </w:tcBorders>
            <w:vAlign w:val="center"/>
          </w:tcPr>
          <w:p w14:paraId="01F78384">
            <w:pPr>
              <w:rPr>
                <w:rFonts w:ascii="方正仿宋_GBK" w:hAnsi="方正仿宋_GBK" w:eastAsia="方正仿宋_GBK" w:cs="方正仿宋_GBK"/>
                <w:sz w:val="28"/>
                <w:szCs w:val="28"/>
              </w:rPr>
            </w:pPr>
          </w:p>
        </w:tc>
        <w:tc>
          <w:tcPr>
            <w:tcW w:w="1836" w:type="dxa"/>
            <w:tcBorders>
              <w:tl2br w:val="nil"/>
              <w:tr2bl w:val="nil"/>
            </w:tcBorders>
            <w:vAlign w:val="center"/>
          </w:tcPr>
          <w:p w14:paraId="3466104A">
            <w:pPr>
              <w:rPr>
                <w:rFonts w:ascii="方正仿宋_GBK" w:hAnsi="方正仿宋_GBK" w:eastAsia="方正仿宋_GBK" w:cs="方正仿宋_GBK"/>
                <w:sz w:val="28"/>
                <w:szCs w:val="28"/>
              </w:rPr>
            </w:pPr>
          </w:p>
        </w:tc>
      </w:tr>
      <w:tr w14:paraId="1ED6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581" w:type="dxa"/>
            <w:vMerge w:val="continue"/>
            <w:tcBorders>
              <w:tl2br w:val="nil"/>
              <w:tr2bl w:val="nil"/>
            </w:tcBorders>
            <w:vAlign w:val="center"/>
          </w:tcPr>
          <w:p w14:paraId="0631620D">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45052CE2">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21E58CA0">
            <w:pPr>
              <w:rPr>
                <w:rFonts w:ascii="方正仿宋_GBK" w:hAnsi="方正仿宋_GBK" w:eastAsia="方正仿宋_GBK" w:cs="方正仿宋_GBK"/>
                <w:sz w:val="28"/>
                <w:szCs w:val="28"/>
              </w:rPr>
            </w:pPr>
          </w:p>
        </w:tc>
        <w:tc>
          <w:tcPr>
            <w:tcW w:w="2722" w:type="dxa"/>
            <w:tcBorders>
              <w:tl2br w:val="nil"/>
              <w:tr2bl w:val="nil"/>
            </w:tcBorders>
            <w:vAlign w:val="center"/>
          </w:tcPr>
          <w:p w14:paraId="595DE56B">
            <w:pPr>
              <w:rPr>
                <w:rFonts w:ascii="方正仿宋_GBK" w:hAnsi="方正仿宋_GBK" w:eastAsia="方正仿宋_GBK" w:cs="方正仿宋_GBK"/>
                <w:sz w:val="28"/>
                <w:szCs w:val="28"/>
              </w:rPr>
            </w:pPr>
          </w:p>
        </w:tc>
        <w:tc>
          <w:tcPr>
            <w:tcW w:w="1412" w:type="dxa"/>
            <w:tcBorders>
              <w:tl2br w:val="nil"/>
              <w:tr2bl w:val="nil"/>
            </w:tcBorders>
            <w:vAlign w:val="center"/>
          </w:tcPr>
          <w:p w14:paraId="4F9AC1E4">
            <w:pPr>
              <w:rPr>
                <w:rFonts w:ascii="方正仿宋_GBK" w:hAnsi="方正仿宋_GBK" w:eastAsia="方正仿宋_GBK" w:cs="方正仿宋_GBK"/>
                <w:sz w:val="28"/>
                <w:szCs w:val="28"/>
              </w:rPr>
            </w:pPr>
          </w:p>
        </w:tc>
        <w:tc>
          <w:tcPr>
            <w:tcW w:w="1836" w:type="dxa"/>
            <w:tcBorders>
              <w:tl2br w:val="nil"/>
              <w:tr2bl w:val="nil"/>
            </w:tcBorders>
            <w:vAlign w:val="center"/>
          </w:tcPr>
          <w:p w14:paraId="2BC9547C">
            <w:pPr>
              <w:rPr>
                <w:rFonts w:ascii="方正仿宋_GBK" w:hAnsi="方正仿宋_GBK" w:eastAsia="方正仿宋_GBK" w:cs="方正仿宋_GBK"/>
                <w:sz w:val="28"/>
                <w:szCs w:val="28"/>
              </w:rPr>
            </w:pPr>
          </w:p>
        </w:tc>
      </w:tr>
      <w:tr w14:paraId="6D2D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581" w:type="dxa"/>
            <w:vMerge w:val="continue"/>
            <w:tcBorders>
              <w:tl2br w:val="nil"/>
              <w:tr2bl w:val="nil"/>
            </w:tcBorders>
            <w:vAlign w:val="center"/>
          </w:tcPr>
          <w:p w14:paraId="1F050618">
            <w:pPr>
              <w:spacing w:line="440" w:lineRule="exact"/>
              <w:rPr>
                <w:rFonts w:ascii="方正仿宋_GBK" w:hAnsi="方正仿宋_GBK" w:eastAsia="方正仿宋_GBK" w:cs="方正仿宋_GBK"/>
                <w:sz w:val="28"/>
                <w:szCs w:val="28"/>
              </w:rPr>
            </w:pPr>
          </w:p>
        </w:tc>
        <w:tc>
          <w:tcPr>
            <w:tcW w:w="1590" w:type="dxa"/>
            <w:vMerge w:val="restart"/>
            <w:tcBorders>
              <w:tl2br w:val="nil"/>
              <w:tr2bl w:val="nil"/>
            </w:tcBorders>
            <w:vAlign w:val="center"/>
          </w:tcPr>
          <w:p w14:paraId="70EDCD07">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劳动人事</w:t>
            </w:r>
          </w:p>
        </w:tc>
        <w:tc>
          <w:tcPr>
            <w:tcW w:w="1350" w:type="dxa"/>
            <w:tcBorders>
              <w:tl2br w:val="nil"/>
              <w:tr2bl w:val="nil"/>
            </w:tcBorders>
            <w:vAlign w:val="center"/>
          </w:tcPr>
          <w:p w14:paraId="0B4048BD">
            <w:pPr>
              <w:rPr>
                <w:rFonts w:ascii="方正仿宋_GBK" w:hAnsi="方正仿宋_GBK" w:eastAsia="方正仿宋_GBK" w:cs="方正仿宋_GBK"/>
                <w:sz w:val="28"/>
                <w:szCs w:val="28"/>
              </w:rPr>
            </w:pPr>
          </w:p>
        </w:tc>
        <w:tc>
          <w:tcPr>
            <w:tcW w:w="2722" w:type="dxa"/>
            <w:tcBorders>
              <w:tl2br w:val="nil"/>
              <w:tr2bl w:val="nil"/>
            </w:tcBorders>
            <w:vAlign w:val="center"/>
          </w:tcPr>
          <w:p w14:paraId="561EDEB5">
            <w:pPr>
              <w:rPr>
                <w:rFonts w:ascii="方正仿宋_GBK" w:hAnsi="方正仿宋_GBK" w:eastAsia="方正仿宋_GBK" w:cs="方正仿宋_GBK"/>
                <w:sz w:val="28"/>
                <w:szCs w:val="28"/>
              </w:rPr>
            </w:pPr>
          </w:p>
        </w:tc>
        <w:tc>
          <w:tcPr>
            <w:tcW w:w="1412" w:type="dxa"/>
            <w:tcBorders>
              <w:tl2br w:val="nil"/>
              <w:tr2bl w:val="nil"/>
            </w:tcBorders>
            <w:vAlign w:val="center"/>
          </w:tcPr>
          <w:p w14:paraId="033B6FB5">
            <w:pPr>
              <w:rPr>
                <w:rFonts w:ascii="方正仿宋_GBK" w:hAnsi="方正仿宋_GBK" w:eastAsia="方正仿宋_GBK" w:cs="方正仿宋_GBK"/>
                <w:sz w:val="28"/>
                <w:szCs w:val="28"/>
              </w:rPr>
            </w:pPr>
          </w:p>
        </w:tc>
        <w:tc>
          <w:tcPr>
            <w:tcW w:w="1836" w:type="dxa"/>
            <w:tcBorders>
              <w:tl2br w:val="nil"/>
              <w:tr2bl w:val="nil"/>
            </w:tcBorders>
            <w:vAlign w:val="center"/>
          </w:tcPr>
          <w:p w14:paraId="18B9A8A1">
            <w:pPr>
              <w:rPr>
                <w:rFonts w:ascii="方正仿宋_GBK" w:hAnsi="方正仿宋_GBK" w:eastAsia="方正仿宋_GBK" w:cs="方正仿宋_GBK"/>
                <w:sz w:val="28"/>
                <w:szCs w:val="28"/>
              </w:rPr>
            </w:pPr>
          </w:p>
        </w:tc>
      </w:tr>
      <w:tr w14:paraId="49FC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581" w:type="dxa"/>
            <w:vMerge w:val="continue"/>
            <w:tcBorders>
              <w:tl2br w:val="nil"/>
              <w:tr2bl w:val="nil"/>
            </w:tcBorders>
            <w:vAlign w:val="center"/>
          </w:tcPr>
          <w:p w14:paraId="34108144">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7C316FCD">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12561450">
            <w:pPr>
              <w:rPr>
                <w:rFonts w:ascii="方正仿宋_GBK" w:hAnsi="方正仿宋_GBK" w:eastAsia="方正仿宋_GBK" w:cs="方正仿宋_GBK"/>
                <w:sz w:val="28"/>
                <w:szCs w:val="28"/>
              </w:rPr>
            </w:pPr>
          </w:p>
        </w:tc>
        <w:tc>
          <w:tcPr>
            <w:tcW w:w="2722" w:type="dxa"/>
            <w:tcBorders>
              <w:tl2br w:val="nil"/>
              <w:tr2bl w:val="nil"/>
            </w:tcBorders>
            <w:vAlign w:val="center"/>
          </w:tcPr>
          <w:p w14:paraId="5319C279">
            <w:pPr>
              <w:rPr>
                <w:rFonts w:ascii="方正仿宋_GBK" w:hAnsi="方正仿宋_GBK" w:eastAsia="方正仿宋_GBK" w:cs="方正仿宋_GBK"/>
                <w:sz w:val="28"/>
                <w:szCs w:val="28"/>
              </w:rPr>
            </w:pPr>
          </w:p>
        </w:tc>
        <w:tc>
          <w:tcPr>
            <w:tcW w:w="1412" w:type="dxa"/>
            <w:tcBorders>
              <w:tl2br w:val="nil"/>
              <w:tr2bl w:val="nil"/>
            </w:tcBorders>
            <w:vAlign w:val="center"/>
          </w:tcPr>
          <w:p w14:paraId="5B5F5E05">
            <w:pPr>
              <w:rPr>
                <w:rFonts w:ascii="方正仿宋_GBK" w:hAnsi="方正仿宋_GBK" w:eastAsia="方正仿宋_GBK" w:cs="方正仿宋_GBK"/>
                <w:sz w:val="28"/>
                <w:szCs w:val="28"/>
              </w:rPr>
            </w:pPr>
          </w:p>
        </w:tc>
        <w:tc>
          <w:tcPr>
            <w:tcW w:w="1836" w:type="dxa"/>
            <w:tcBorders>
              <w:tl2br w:val="nil"/>
              <w:tr2bl w:val="nil"/>
            </w:tcBorders>
            <w:vAlign w:val="center"/>
          </w:tcPr>
          <w:p w14:paraId="37270184">
            <w:pPr>
              <w:rPr>
                <w:rFonts w:ascii="方正仿宋_GBK" w:hAnsi="方正仿宋_GBK" w:eastAsia="方正仿宋_GBK" w:cs="方正仿宋_GBK"/>
                <w:sz w:val="28"/>
                <w:szCs w:val="28"/>
              </w:rPr>
            </w:pPr>
          </w:p>
        </w:tc>
      </w:tr>
      <w:tr w14:paraId="55F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581" w:type="dxa"/>
            <w:vMerge w:val="continue"/>
            <w:tcBorders>
              <w:tl2br w:val="nil"/>
              <w:tr2bl w:val="nil"/>
            </w:tcBorders>
            <w:vAlign w:val="center"/>
          </w:tcPr>
          <w:p w14:paraId="6C880EFC">
            <w:pPr>
              <w:spacing w:line="440" w:lineRule="exact"/>
              <w:rPr>
                <w:rFonts w:ascii="方正仿宋_GBK" w:hAnsi="方正仿宋_GBK" w:eastAsia="方正仿宋_GBK" w:cs="方正仿宋_GBK"/>
                <w:sz w:val="28"/>
                <w:szCs w:val="28"/>
              </w:rPr>
            </w:pPr>
          </w:p>
        </w:tc>
        <w:tc>
          <w:tcPr>
            <w:tcW w:w="1590" w:type="dxa"/>
            <w:vMerge w:val="restart"/>
            <w:tcBorders>
              <w:tl2br w:val="nil"/>
              <w:tr2bl w:val="nil"/>
            </w:tcBorders>
            <w:vAlign w:val="center"/>
          </w:tcPr>
          <w:p w14:paraId="773696E5">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财政税收</w:t>
            </w:r>
          </w:p>
        </w:tc>
        <w:tc>
          <w:tcPr>
            <w:tcW w:w="1350" w:type="dxa"/>
            <w:tcBorders>
              <w:tl2br w:val="nil"/>
              <w:tr2bl w:val="nil"/>
            </w:tcBorders>
            <w:vAlign w:val="center"/>
          </w:tcPr>
          <w:p w14:paraId="3CFFD503">
            <w:pPr>
              <w:rPr>
                <w:rFonts w:ascii="方正仿宋_GBK" w:hAnsi="方正仿宋_GBK" w:eastAsia="方正仿宋_GBK" w:cs="方正仿宋_GBK"/>
                <w:sz w:val="28"/>
                <w:szCs w:val="28"/>
              </w:rPr>
            </w:pPr>
          </w:p>
        </w:tc>
        <w:tc>
          <w:tcPr>
            <w:tcW w:w="2722" w:type="dxa"/>
            <w:tcBorders>
              <w:tl2br w:val="nil"/>
              <w:tr2bl w:val="nil"/>
            </w:tcBorders>
            <w:vAlign w:val="center"/>
          </w:tcPr>
          <w:p w14:paraId="2A7AC94B">
            <w:pPr>
              <w:rPr>
                <w:rFonts w:ascii="方正仿宋_GBK" w:hAnsi="方正仿宋_GBK" w:eastAsia="方正仿宋_GBK" w:cs="方正仿宋_GBK"/>
                <w:sz w:val="28"/>
                <w:szCs w:val="28"/>
              </w:rPr>
            </w:pPr>
          </w:p>
        </w:tc>
        <w:tc>
          <w:tcPr>
            <w:tcW w:w="1412" w:type="dxa"/>
            <w:tcBorders>
              <w:tl2br w:val="nil"/>
              <w:tr2bl w:val="nil"/>
            </w:tcBorders>
            <w:vAlign w:val="center"/>
          </w:tcPr>
          <w:p w14:paraId="2E717433">
            <w:pPr>
              <w:rPr>
                <w:rFonts w:ascii="方正仿宋_GBK" w:hAnsi="方正仿宋_GBK" w:eastAsia="方正仿宋_GBK" w:cs="方正仿宋_GBK"/>
                <w:sz w:val="28"/>
                <w:szCs w:val="28"/>
              </w:rPr>
            </w:pPr>
          </w:p>
        </w:tc>
        <w:tc>
          <w:tcPr>
            <w:tcW w:w="1836" w:type="dxa"/>
            <w:tcBorders>
              <w:tl2br w:val="nil"/>
              <w:tr2bl w:val="nil"/>
            </w:tcBorders>
            <w:vAlign w:val="center"/>
          </w:tcPr>
          <w:p w14:paraId="7BEE5F97">
            <w:pPr>
              <w:rPr>
                <w:rFonts w:ascii="方正仿宋_GBK" w:hAnsi="方正仿宋_GBK" w:eastAsia="方正仿宋_GBK" w:cs="方正仿宋_GBK"/>
                <w:sz w:val="28"/>
                <w:szCs w:val="28"/>
              </w:rPr>
            </w:pPr>
          </w:p>
        </w:tc>
      </w:tr>
      <w:tr w14:paraId="22A4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81" w:type="dxa"/>
            <w:vMerge w:val="continue"/>
            <w:tcBorders>
              <w:tl2br w:val="nil"/>
              <w:tr2bl w:val="nil"/>
            </w:tcBorders>
            <w:vAlign w:val="center"/>
          </w:tcPr>
          <w:p w14:paraId="32C230CC">
            <w:pPr>
              <w:spacing w:line="440" w:lineRule="exact"/>
              <w:rPr>
                <w:rFonts w:ascii="方正仿宋_GBK" w:hAnsi="方正仿宋_GBK" w:eastAsia="方正仿宋_GBK" w:cs="方正仿宋_GBK"/>
                <w:sz w:val="28"/>
                <w:szCs w:val="28"/>
              </w:rPr>
            </w:pPr>
          </w:p>
        </w:tc>
        <w:tc>
          <w:tcPr>
            <w:tcW w:w="1590" w:type="dxa"/>
            <w:vMerge w:val="continue"/>
            <w:tcBorders>
              <w:tl2br w:val="nil"/>
              <w:tr2bl w:val="nil"/>
            </w:tcBorders>
            <w:vAlign w:val="center"/>
          </w:tcPr>
          <w:p w14:paraId="0F8202EC">
            <w:pPr>
              <w:spacing w:line="440" w:lineRule="exact"/>
              <w:jc w:val="center"/>
              <w:rPr>
                <w:rFonts w:ascii="方正仿宋_GBK" w:hAnsi="方正仿宋_GBK" w:eastAsia="方正仿宋_GBK" w:cs="方正仿宋_GBK"/>
                <w:sz w:val="28"/>
                <w:szCs w:val="28"/>
              </w:rPr>
            </w:pPr>
          </w:p>
        </w:tc>
        <w:tc>
          <w:tcPr>
            <w:tcW w:w="1350" w:type="dxa"/>
            <w:tcBorders>
              <w:tl2br w:val="nil"/>
              <w:tr2bl w:val="nil"/>
            </w:tcBorders>
            <w:vAlign w:val="center"/>
          </w:tcPr>
          <w:p w14:paraId="207232CB">
            <w:pPr>
              <w:rPr>
                <w:rFonts w:ascii="方正仿宋_GBK" w:hAnsi="方正仿宋_GBK" w:eastAsia="方正仿宋_GBK" w:cs="方正仿宋_GBK"/>
                <w:sz w:val="28"/>
                <w:szCs w:val="28"/>
              </w:rPr>
            </w:pPr>
          </w:p>
        </w:tc>
        <w:tc>
          <w:tcPr>
            <w:tcW w:w="2722" w:type="dxa"/>
            <w:tcBorders>
              <w:tl2br w:val="nil"/>
              <w:tr2bl w:val="nil"/>
            </w:tcBorders>
            <w:vAlign w:val="center"/>
          </w:tcPr>
          <w:p w14:paraId="1CD38B22">
            <w:pPr>
              <w:rPr>
                <w:rFonts w:ascii="方正仿宋_GBK" w:hAnsi="方正仿宋_GBK" w:eastAsia="方正仿宋_GBK" w:cs="方正仿宋_GBK"/>
                <w:sz w:val="28"/>
                <w:szCs w:val="28"/>
              </w:rPr>
            </w:pPr>
          </w:p>
        </w:tc>
        <w:tc>
          <w:tcPr>
            <w:tcW w:w="1412" w:type="dxa"/>
            <w:tcBorders>
              <w:tl2br w:val="nil"/>
              <w:tr2bl w:val="nil"/>
            </w:tcBorders>
            <w:vAlign w:val="center"/>
          </w:tcPr>
          <w:p w14:paraId="2B3302C6">
            <w:pPr>
              <w:rPr>
                <w:rFonts w:ascii="方正仿宋_GBK" w:hAnsi="方正仿宋_GBK" w:eastAsia="方正仿宋_GBK" w:cs="方正仿宋_GBK"/>
                <w:sz w:val="28"/>
                <w:szCs w:val="28"/>
              </w:rPr>
            </w:pPr>
          </w:p>
        </w:tc>
        <w:tc>
          <w:tcPr>
            <w:tcW w:w="1836" w:type="dxa"/>
            <w:tcBorders>
              <w:tl2br w:val="nil"/>
              <w:tr2bl w:val="nil"/>
            </w:tcBorders>
            <w:vAlign w:val="center"/>
          </w:tcPr>
          <w:p w14:paraId="7FA974DD">
            <w:pPr>
              <w:rPr>
                <w:rFonts w:ascii="方正仿宋_GBK" w:hAnsi="方正仿宋_GBK" w:eastAsia="方正仿宋_GBK" w:cs="方正仿宋_GBK"/>
                <w:sz w:val="28"/>
                <w:szCs w:val="28"/>
              </w:rPr>
            </w:pPr>
          </w:p>
        </w:tc>
      </w:tr>
      <w:tr w14:paraId="3842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581" w:type="dxa"/>
            <w:vMerge w:val="continue"/>
            <w:tcBorders>
              <w:tl2br w:val="nil"/>
              <w:tr2bl w:val="nil"/>
            </w:tcBorders>
            <w:vAlign w:val="center"/>
          </w:tcPr>
          <w:p w14:paraId="24B2C089">
            <w:pPr>
              <w:spacing w:line="440" w:lineRule="exact"/>
              <w:rPr>
                <w:rFonts w:ascii="方正仿宋_GBK" w:hAnsi="方正仿宋_GBK" w:eastAsia="方正仿宋_GBK" w:cs="方正仿宋_GBK"/>
                <w:sz w:val="28"/>
                <w:szCs w:val="28"/>
              </w:rPr>
            </w:pPr>
          </w:p>
        </w:tc>
        <w:tc>
          <w:tcPr>
            <w:tcW w:w="1590" w:type="dxa"/>
            <w:tcBorders>
              <w:tl2br w:val="nil"/>
              <w:tr2bl w:val="nil"/>
            </w:tcBorders>
            <w:vAlign w:val="center"/>
          </w:tcPr>
          <w:p w14:paraId="6286F0F3">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w:t>
            </w:r>
          </w:p>
        </w:tc>
        <w:tc>
          <w:tcPr>
            <w:tcW w:w="1350" w:type="dxa"/>
            <w:tcBorders>
              <w:tl2br w:val="nil"/>
              <w:tr2bl w:val="nil"/>
            </w:tcBorders>
            <w:vAlign w:val="center"/>
          </w:tcPr>
          <w:p w14:paraId="2A58F7EC">
            <w:pPr>
              <w:rPr>
                <w:rFonts w:ascii="方正仿宋_GBK" w:hAnsi="方正仿宋_GBK" w:eastAsia="方正仿宋_GBK" w:cs="方正仿宋_GBK"/>
                <w:sz w:val="28"/>
                <w:szCs w:val="28"/>
              </w:rPr>
            </w:pPr>
          </w:p>
        </w:tc>
        <w:tc>
          <w:tcPr>
            <w:tcW w:w="2722" w:type="dxa"/>
            <w:tcBorders>
              <w:tl2br w:val="nil"/>
              <w:tr2bl w:val="nil"/>
            </w:tcBorders>
            <w:vAlign w:val="center"/>
          </w:tcPr>
          <w:p w14:paraId="69CEBFDB">
            <w:pPr>
              <w:rPr>
                <w:rFonts w:ascii="方正仿宋_GBK" w:hAnsi="方正仿宋_GBK" w:eastAsia="方正仿宋_GBK" w:cs="方正仿宋_GBK"/>
                <w:sz w:val="28"/>
                <w:szCs w:val="28"/>
              </w:rPr>
            </w:pPr>
          </w:p>
        </w:tc>
        <w:tc>
          <w:tcPr>
            <w:tcW w:w="1412" w:type="dxa"/>
            <w:tcBorders>
              <w:tl2br w:val="nil"/>
              <w:tr2bl w:val="nil"/>
            </w:tcBorders>
            <w:vAlign w:val="center"/>
          </w:tcPr>
          <w:p w14:paraId="65DD8EBB">
            <w:pPr>
              <w:rPr>
                <w:rFonts w:ascii="方正仿宋_GBK" w:hAnsi="方正仿宋_GBK" w:eastAsia="方正仿宋_GBK" w:cs="方正仿宋_GBK"/>
                <w:sz w:val="28"/>
                <w:szCs w:val="28"/>
              </w:rPr>
            </w:pPr>
          </w:p>
        </w:tc>
        <w:tc>
          <w:tcPr>
            <w:tcW w:w="1836" w:type="dxa"/>
            <w:tcBorders>
              <w:tl2br w:val="nil"/>
              <w:tr2bl w:val="nil"/>
            </w:tcBorders>
            <w:vAlign w:val="center"/>
          </w:tcPr>
          <w:p w14:paraId="31ACC6AB">
            <w:pPr>
              <w:rPr>
                <w:rFonts w:ascii="方正仿宋_GBK" w:hAnsi="方正仿宋_GBK" w:eastAsia="方正仿宋_GBK" w:cs="方正仿宋_GBK"/>
                <w:sz w:val="28"/>
                <w:szCs w:val="28"/>
              </w:rPr>
            </w:pPr>
          </w:p>
        </w:tc>
      </w:tr>
      <w:tr w14:paraId="73F0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91" w:type="dxa"/>
            <w:gridSpan w:val="6"/>
            <w:tcBorders>
              <w:tl2br w:val="nil"/>
              <w:tr2bl w:val="nil"/>
            </w:tcBorders>
            <w:vAlign w:val="center"/>
          </w:tcPr>
          <w:p w14:paraId="33F0B51C">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团队日常联系人：                   联系方式：           </w:t>
            </w:r>
          </w:p>
        </w:tc>
      </w:tr>
    </w:tbl>
    <w:p w14:paraId="2320803D">
      <w:pPr>
        <w:ind w:firstLine="422" w:firstLineChars="200"/>
        <w:rPr>
          <w:rFonts w:ascii="Times New Roman" w:hAnsi="Times New Roman" w:eastAsia="方正仿宋_GBK" w:cs="Times New Roman"/>
          <w:szCs w:val="21"/>
        </w:rPr>
      </w:pPr>
      <w:r>
        <w:rPr>
          <w:rFonts w:ascii="Times New Roman" w:hAnsi="Times New Roman" w:eastAsia="方正仿宋_GBK" w:cs="Times New Roman"/>
          <w:b/>
          <w:bCs/>
          <w:szCs w:val="21"/>
        </w:rPr>
        <w:t>备注：</w:t>
      </w:r>
      <w:r>
        <w:rPr>
          <w:rFonts w:ascii="Times New Roman" w:hAnsi="Times New Roman" w:eastAsia="方正仿宋_GBK" w:cs="Times New Roman"/>
          <w:szCs w:val="21"/>
        </w:rPr>
        <w:t> 1.此表格为样板，各参选文件律所可自行扩展表格填写信息，配置团队应考虑相关领域的专业性。</w:t>
      </w:r>
    </w:p>
    <w:p w14:paraId="456C8D48">
      <w:pPr>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2.专业领域请参考本文件资格条件要求中关于专业配置所列专项，团队顾问律师应将简历（团队律师简历应简明扼要，重点列明与本项目要求相关的执业经验与业绩，每份简历建议控制在一页A4纸以内）作为本表格附件。</w:t>
      </w:r>
    </w:p>
    <w:p w14:paraId="472F5570">
      <w:pPr>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3.需注明替补机制，且替补人员资质不得低于原人员。</w:t>
      </w:r>
    </w:p>
    <w:p w14:paraId="76209ED1">
      <w:pPr>
        <w:spacing w:line="520" w:lineRule="exact"/>
        <w:jc w:val="center"/>
        <w:rPr>
          <w:rFonts w:ascii="Times New Roman" w:hAnsi="Times New Roman" w:eastAsia="方正仿宋_GBK" w:cs="Times New Roman"/>
          <w:sz w:val="30"/>
          <w:szCs w:val="30"/>
        </w:rPr>
      </w:pPr>
      <w:r>
        <w:rPr>
          <w:rFonts w:hint="eastAsia" w:ascii="方正黑体简体" w:hAnsi="方正黑体简体" w:eastAsia="方正黑体简体" w:cs="方正黑体简体"/>
          <w:sz w:val="30"/>
          <w:szCs w:val="30"/>
        </w:rPr>
        <w:t>七、承诺书</w:t>
      </w:r>
    </w:p>
    <w:p w14:paraId="5424FBFB">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w:t>
      </w:r>
      <w:r>
        <w:rPr>
          <w:rFonts w:hint="eastAsia" w:ascii="Times New Roman" w:hAnsi="Times New Roman" w:eastAsia="方正仿宋_GBK" w:cs="Times New Roman"/>
          <w:sz w:val="30"/>
          <w:szCs w:val="30"/>
        </w:rPr>
        <w:t>：</w:t>
      </w:r>
    </w:p>
    <w:p w14:paraId="219535C0">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我单位</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（参选人全称） 在贵单位组织的 2026年度常年法律顾问整体服务采购项目 的参选及后续活动中，作出如下承诺：</w:t>
      </w:r>
    </w:p>
    <w:p w14:paraId="766172BE">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我方已仔细阅读并完全理解比选文件的全部内容，并保证按要求编制和提交参选文件。</w:t>
      </w:r>
    </w:p>
    <w:p w14:paraId="0E0FB6D0">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我方保证所提交的全部参选文件、资料的真实性、准确性和合法性，不存在任何虚假记载、误导性陈述或重大遗漏。</w:t>
      </w:r>
    </w:p>
    <w:p w14:paraId="783EE947">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我方承诺近五年内未受过司法行政管理机关的行政处罚或律师协会的纪律惩戒，无不良信用记录。</w:t>
      </w:r>
    </w:p>
    <w:p w14:paraId="3380B054">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我方承诺，我单位股东非采购人及下属企业单位的在职员工或其直系亲属。</w:t>
      </w:r>
    </w:p>
    <w:p w14:paraId="52D4C5FE">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5.</w:t>
      </w:r>
      <w:r>
        <w:rPr>
          <w:rFonts w:ascii="Times New Roman" w:hAnsi="Times New Roman" w:eastAsia="方正仿宋_GBK" w:cs="Times New Roman"/>
          <w:sz w:val="30"/>
          <w:szCs w:val="30"/>
        </w:rPr>
        <w:t>我方承诺，与本次比选的其他参选人之间不存在法定代表人/负责人为同一人或者存在直接控股、管理关系的情形。</w:t>
      </w:r>
    </w:p>
    <w:p w14:paraId="0F0BC64C">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6.</w:t>
      </w:r>
      <w:r>
        <w:rPr>
          <w:rFonts w:ascii="Times New Roman" w:hAnsi="Times New Roman" w:eastAsia="方正仿宋_GBK" w:cs="Times New Roman"/>
          <w:sz w:val="30"/>
          <w:szCs w:val="30"/>
        </w:rPr>
        <w:t>我方郑重承诺，与重庆广播电视集团（总台）及其所有下属企业、单位、频道、中心等不存在任何尚未了结的利益冲突，且在中选后，将严格遵守职业道德，主动履行回避义务，决不从事任何与贵方利益相冲突的活动。</w:t>
      </w:r>
    </w:p>
    <w:p w14:paraId="110A0CCE">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7.</w:t>
      </w:r>
      <w:r>
        <w:rPr>
          <w:rFonts w:ascii="Times New Roman" w:hAnsi="Times New Roman" w:eastAsia="方正仿宋_GBK" w:cs="Times New Roman"/>
          <w:sz w:val="30"/>
          <w:szCs w:val="30"/>
        </w:rPr>
        <w:t>如中选，我方保证忠实地执行双方所签订的合同，并承担合同规定的责任义务。</w:t>
      </w:r>
    </w:p>
    <w:p w14:paraId="1CB452CC">
      <w:pPr>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8.</w:t>
      </w:r>
      <w:r>
        <w:rPr>
          <w:rFonts w:ascii="Times New Roman" w:hAnsi="Times New Roman" w:eastAsia="方正仿宋_GBK" w:cs="Times New Roman"/>
          <w:sz w:val="30"/>
          <w:szCs w:val="30"/>
        </w:rPr>
        <w:t>我方承诺遵守比选文件中的所有规定和要求。</w:t>
      </w:r>
    </w:p>
    <w:p w14:paraId="1A28B48A">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上述承诺是我单位真实意思的表示，我单位愿意承担违反上述承诺所引发的一切法律责任。</w:t>
      </w:r>
    </w:p>
    <w:p w14:paraId="35BB7C42">
      <w:pPr>
        <w:spacing w:line="500" w:lineRule="exact"/>
        <w:ind w:left="5069" w:leftChars="2414"/>
        <w:rPr>
          <w:rFonts w:ascii="方正黑体简体" w:hAnsi="方正黑体简体" w:eastAsia="方正黑体简体" w:cs="方正黑体简体"/>
          <w:sz w:val="30"/>
          <w:szCs w:val="30"/>
        </w:rPr>
      </w:pPr>
      <w:r>
        <w:rPr>
          <w:rFonts w:ascii="Times New Roman" w:hAnsi="Times New Roman" w:eastAsia="方正仿宋_GBK" w:cs="Times New Roman"/>
          <w:sz w:val="30"/>
          <w:szCs w:val="30"/>
        </w:rPr>
        <w:t>参选人（盖章）：</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授权代表（签字）：</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日期： 年 月 日</w:t>
      </w:r>
    </w:p>
    <w:p w14:paraId="1A22A4E7">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八、其他特别承诺</w:t>
      </w:r>
    </w:p>
    <w:p w14:paraId="272D2DD7">
      <w:pPr>
        <w:spacing w:line="520" w:lineRule="exact"/>
        <w:rPr>
          <w:rFonts w:ascii="Times New Roman" w:hAnsi="Times New Roman" w:eastAsia="方正仿宋_GBK" w:cs="Times New Roman"/>
          <w:sz w:val="30"/>
          <w:szCs w:val="30"/>
        </w:rPr>
      </w:pPr>
    </w:p>
    <w:p w14:paraId="1A2F3C7A">
      <w:pPr>
        <w:spacing w:line="52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w:t>
      </w:r>
    </w:p>
    <w:p w14:paraId="57210AA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我单位将在贵单位组织的</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（项目名称） 中标后，作出如下承诺：</w:t>
      </w:r>
    </w:p>
    <w:p w14:paraId="792B42BA">
      <w:pPr>
        <w:spacing w:line="520" w:lineRule="exact"/>
        <w:ind w:firstLine="600" w:firstLineChars="200"/>
        <w:rPr>
          <w:rFonts w:ascii="Times New Roman" w:hAnsi="Times New Roman" w:eastAsia="方正仿宋_GBK" w:cs="Times New Roman"/>
          <w:sz w:val="30"/>
          <w:szCs w:val="30"/>
        </w:rPr>
      </w:pPr>
    </w:p>
    <w:p w14:paraId="6A738787">
      <w:pPr>
        <w:spacing w:line="520" w:lineRule="exact"/>
        <w:ind w:firstLine="600" w:firstLineChars="200"/>
        <w:rPr>
          <w:rFonts w:ascii="Times New Roman" w:hAnsi="Times New Roman" w:eastAsia="方正仿宋_GBK" w:cs="Times New Roman"/>
          <w:sz w:val="30"/>
          <w:szCs w:val="30"/>
        </w:rPr>
      </w:pPr>
    </w:p>
    <w:p w14:paraId="23E7A794">
      <w:pPr>
        <w:spacing w:line="520" w:lineRule="exact"/>
        <w:ind w:firstLine="600" w:firstLineChars="200"/>
        <w:rPr>
          <w:rFonts w:ascii="Times New Roman" w:hAnsi="Times New Roman" w:eastAsia="方正仿宋_GBK" w:cs="Times New Roman"/>
          <w:sz w:val="30"/>
          <w:szCs w:val="30"/>
        </w:rPr>
      </w:pPr>
    </w:p>
    <w:p w14:paraId="3DE84E5E">
      <w:pPr>
        <w:spacing w:line="520" w:lineRule="exact"/>
        <w:ind w:firstLine="600" w:firstLineChars="200"/>
        <w:rPr>
          <w:rFonts w:ascii="Times New Roman" w:hAnsi="Times New Roman" w:eastAsia="方正仿宋_GBK" w:cs="Times New Roman"/>
          <w:sz w:val="30"/>
          <w:szCs w:val="30"/>
        </w:rPr>
      </w:pPr>
    </w:p>
    <w:p w14:paraId="196016AD">
      <w:pPr>
        <w:spacing w:line="520" w:lineRule="exact"/>
        <w:ind w:firstLine="600" w:firstLineChars="200"/>
        <w:rPr>
          <w:rFonts w:ascii="Times New Roman" w:hAnsi="Times New Roman" w:eastAsia="方正仿宋_GBK" w:cs="Times New Roman"/>
          <w:sz w:val="30"/>
          <w:szCs w:val="30"/>
        </w:rPr>
      </w:pPr>
    </w:p>
    <w:p w14:paraId="54A09191">
      <w:pPr>
        <w:spacing w:line="520" w:lineRule="exact"/>
        <w:ind w:firstLine="600" w:firstLineChars="200"/>
        <w:rPr>
          <w:rFonts w:ascii="Times New Roman" w:hAnsi="Times New Roman" w:eastAsia="方正仿宋_GBK" w:cs="Times New Roman"/>
          <w:sz w:val="30"/>
          <w:szCs w:val="30"/>
        </w:rPr>
      </w:pPr>
    </w:p>
    <w:p w14:paraId="099F6C14">
      <w:pPr>
        <w:spacing w:line="520" w:lineRule="exact"/>
        <w:ind w:firstLine="600" w:firstLineChars="200"/>
        <w:rPr>
          <w:rFonts w:ascii="Times New Roman" w:hAnsi="Times New Roman" w:eastAsia="方正仿宋_GBK" w:cs="Times New Roman"/>
          <w:sz w:val="30"/>
          <w:szCs w:val="30"/>
        </w:rPr>
      </w:pPr>
    </w:p>
    <w:p w14:paraId="442F1134">
      <w:pPr>
        <w:spacing w:line="520" w:lineRule="exact"/>
        <w:rPr>
          <w:rFonts w:ascii="Times New Roman" w:hAnsi="Times New Roman" w:eastAsia="方正仿宋_GBK" w:cs="Times New Roman"/>
          <w:sz w:val="30"/>
          <w:szCs w:val="30"/>
        </w:rPr>
      </w:pPr>
    </w:p>
    <w:p w14:paraId="3D2A15EC">
      <w:pPr>
        <w:spacing w:line="520" w:lineRule="exact"/>
        <w:rPr>
          <w:rFonts w:ascii="Times New Roman" w:hAnsi="Times New Roman" w:eastAsia="方正仿宋_GBK" w:cs="Times New Roman"/>
          <w:sz w:val="30"/>
          <w:szCs w:val="30"/>
        </w:rPr>
      </w:pPr>
    </w:p>
    <w:p w14:paraId="0375F0C6">
      <w:pPr>
        <w:spacing w:line="520" w:lineRule="exact"/>
        <w:ind w:left="1496" w:leftChars="284" w:hanging="900" w:hanging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备注：1.上述内容将在中选后以签署书面合同形式确定；</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2.承诺服务内容另可附页，填写须清楚，不得涂改。</w:t>
      </w:r>
    </w:p>
    <w:p w14:paraId="7B373EDC">
      <w:pPr>
        <w:spacing w:line="520" w:lineRule="exact"/>
        <w:ind w:firstLine="4500" w:firstLineChars="1500"/>
        <w:rPr>
          <w:rFonts w:ascii="Times New Roman" w:hAnsi="Times New Roman" w:eastAsia="方正仿宋_GBK" w:cs="Times New Roman"/>
          <w:sz w:val="30"/>
          <w:szCs w:val="30"/>
        </w:rPr>
      </w:pPr>
    </w:p>
    <w:p w14:paraId="4DD2A668">
      <w:pPr>
        <w:spacing w:line="520" w:lineRule="exact"/>
        <w:ind w:left="4771" w:leftChars="2272"/>
        <w:rPr>
          <w:rFonts w:ascii="Times New Roman" w:hAnsi="Times New Roman" w:eastAsia="方正仿宋_GBK" w:cs="Times New Roman"/>
          <w:sz w:val="30"/>
          <w:szCs w:val="30"/>
        </w:rPr>
      </w:pPr>
      <w:r>
        <w:rPr>
          <w:rFonts w:ascii="Times New Roman" w:hAnsi="Times New Roman" w:eastAsia="方正仿宋_GBK" w:cs="Times New Roman"/>
          <w:sz w:val="30"/>
          <w:szCs w:val="30"/>
        </w:rPr>
        <w:t>参选人（盖章）：</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授权代表（签字）：</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日期：</w:t>
      </w:r>
    </w:p>
    <w:p w14:paraId="74D1CE4F">
      <w:pPr>
        <w:spacing w:line="520" w:lineRule="exact"/>
        <w:jc w:val="center"/>
        <w:rPr>
          <w:rFonts w:ascii="方正黑体简体" w:hAnsi="方正黑体简体" w:eastAsia="方正黑体简体" w:cs="方正黑体简体"/>
          <w:sz w:val="30"/>
          <w:szCs w:val="30"/>
        </w:rPr>
      </w:pPr>
    </w:p>
    <w:p w14:paraId="62C659E1">
      <w:pPr>
        <w:spacing w:line="520" w:lineRule="exact"/>
        <w:jc w:val="center"/>
        <w:rPr>
          <w:rFonts w:ascii="方正黑体简体" w:hAnsi="方正黑体简体" w:eastAsia="方正黑体简体" w:cs="方正黑体简体"/>
          <w:sz w:val="30"/>
          <w:szCs w:val="30"/>
        </w:rPr>
      </w:pPr>
    </w:p>
    <w:p w14:paraId="5094DA08">
      <w:pPr>
        <w:spacing w:line="520" w:lineRule="exact"/>
        <w:jc w:val="center"/>
        <w:rPr>
          <w:rFonts w:ascii="方正黑体简体" w:hAnsi="方正黑体简体" w:eastAsia="方正黑体简体" w:cs="方正黑体简体"/>
          <w:sz w:val="30"/>
          <w:szCs w:val="30"/>
        </w:rPr>
      </w:pPr>
    </w:p>
    <w:p w14:paraId="5173BFDC">
      <w:pPr>
        <w:spacing w:line="520" w:lineRule="exact"/>
        <w:jc w:val="center"/>
        <w:rPr>
          <w:rFonts w:ascii="方正黑体简体" w:hAnsi="方正黑体简体" w:eastAsia="方正黑体简体" w:cs="方正黑体简体"/>
          <w:sz w:val="30"/>
          <w:szCs w:val="30"/>
        </w:rPr>
      </w:pPr>
    </w:p>
    <w:p w14:paraId="40CB19F1">
      <w:pPr>
        <w:spacing w:line="520" w:lineRule="exact"/>
        <w:jc w:val="center"/>
        <w:rPr>
          <w:rFonts w:ascii="方正黑体简体" w:hAnsi="方正黑体简体" w:eastAsia="方正黑体简体" w:cs="方正黑体简体"/>
          <w:sz w:val="30"/>
          <w:szCs w:val="30"/>
        </w:rPr>
      </w:pPr>
    </w:p>
    <w:p w14:paraId="37360210">
      <w:pPr>
        <w:spacing w:line="520" w:lineRule="exact"/>
        <w:jc w:val="center"/>
        <w:rPr>
          <w:rFonts w:ascii="方正黑体简体" w:hAnsi="方正黑体简体" w:eastAsia="方正黑体简体" w:cs="方正黑体简体"/>
          <w:sz w:val="30"/>
          <w:szCs w:val="30"/>
        </w:rPr>
      </w:pPr>
    </w:p>
    <w:p w14:paraId="6D1FCAD0">
      <w:pPr>
        <w:spacing w:line="520" w:lineRule="exact"/>
        <w:jc w:val="center"/>
        <w:rPr>
          <w:rFonts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第五章 合同主要条款（节选）</w:t>
      </w:r>
    </w:p>
    <w:p w14:paraId="5FCD6D3C">
      <w:pPr>
        <w:spacing w:line="520" w:lineRule="exact"/>
        <w:ind w:firstLine="600" w:firstLineChars="200"/>
        <w:rPr>
          <w:rFonts w:ascii="Times New Roman" w:hAnsi="Times New Roman" w:eastAsia="方正仿宋_GBK" w:cs="Times New Roman"/>
          <w:sz w:val="30"/>
          <w:szCs w:val="30"/>
        </w:rPr>
      </w:pPr>
    </w:p>
    <w:p w14:paraId="5FC486E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重庆广播电视集团（总台）常年法律顾问聘任合同</w:t>
      </w:r>
    </w:p>
    <w:p w14:paraId="2BB1DECF">
      <w:pPr>
        <w:spacing w:line="520" w:lineRule="exact"/>
        <w:ind w:firstLine="600" w:firstLineChars="200"/>
        <w:rPr>
          <w:rFonts w:ascii="Times New Roman" w:hAnsi="Times New Roman" w:eastAsia="方正仿宋_GBK" w:cs="Times New Roman"/>
          <w:sz w:val="30"/>
          <w:szCs w:val="30"/>
        </w:rPr>
      </w:pPr>
    </w:p>
    <w:p w14:paraId="71C1142B">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甲方（聘请方）： 重庆广播电视集团（总台）</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乙方（受聘方）： ______________</w:t>
      </w:r>
    </w:p>
    <w:p w14:paraId="525ED970">
      <w:pPr>
        <w:spacing w:line="520" w:lineRule="exact"/>
        <w:ind w:firstLine="600" w:firstLineChars="200"/>
        <w:rPr>
          <w:rFonts w:ascii="Times New Roman" w:hAnsi="Times New Roman" w:eastAsia="方正仿宋_GBK" w:cs="Times New Roman"/>
          <w:sz w:val="30"/>
          <w:szCs w:val="30"/>
        </w:rPr>
      </w:pPr>
    </w:p>
    <w:p w14:paraId="3E297E47">
      <w:pPr>
        <w:numPr>
          <w:ilvl w:val="0"/>
          <w:numId w:val="1"/>
        </w:numPr>
        <w:spacing w:line="520" w:lineRule="exact"/>
        <w:ind w:left="298" w:leftChars="142"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目的与依据</w:t>
      </w:r>
    </w:p>
    <w:p w14:paraId="0A2D3E6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为保障甲方的合法权益不受侵犯，促进甲方依法科学管理、合法经营、规范运转，经双方友好协商，根据《中华人民共和国民法典》《中华人民共和国律师法》及律师业务管理有关规定，签署本合同，共同遵守。</w:t>
      </w:r>
    </w:p>
    <w:p w14:paraId="7EB56541">
      <w:pPr>
        <w:spacing w:line="520" w:lineRule="exact"/>
        <w:ind w:left="298" w:leftChars="142" w:firstLine="300" w:firstLineChars="100"/>
        <w:rPr>
          <w:rFonts w:ascii="Times New Roman" w:hAnsi="Times New Roman" w:eastAsia="方正仿宋_GBK" w:cs="Times New Roman"/>
          <w:sz w:val="30"/>
          <w:szCs w:val="30"/>
        </w:rPr>
      </w:pPr>
      <w:r>
        <w:rPr>
          <w:rFonts w:ascii="Times New Roman" w:hAnsi="Times New Roman" w:eastAsia="方正仿宋_GBK" w:cs="Times New Roman"/>
          <w:sz w:val="30"/>
          <w:szCs w:val="30"/>
        </w:rPr>
        <w:t>第二条 顾问团队与聘期</w:t>
      </w:r>
    </w:p>
    <w:p w14:paraId="47750B83">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乙方受聘担任甲方常年法律顾问单位，为甲方提供全方位法律服务。为保证日常法律服务的质量和效率，乙方由 ________ 等律师组成常年法律顾问工作团队，由 ________ 律师担任团队负责人。</w:t>
      </w:r>
    </w:p>
    <w:p w14:paraId="47B0E0BD">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聘期： 壹年，自2026年1月1日至2026年12月31日止。</w:t>
      </w:r>
    </w:p>
    <w:p w14:paraId="1E0DA028">
      <w:pPr>
        <w:numPr>
          <w:ilvl w:val="0"/>
          <w:numId w:val="2"/>
        </w:num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归口管理</w:t>
      </w:r>
    </w:p>
    <w:p w14:paraId="52667467">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甲方法务部归口管理甲方单位全部法律事务，统筹安排乙方常年法律顾问工作团队的工作。</w:t>
      </w:r>
    </w:p>
    <w:p w14:paraId="24286ACD">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第四条 法律服务范围</w:t>
      </w:r>
    </w:p>
    <w:p w14:paraId="2B6FF4C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乙方根据甲方需要提供下列法律服务：</w:t>
      </w:r>
    </w:p>
    <w:p w14:paraId="27F3E793">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（一）就甲方的重大决策提供法律意见，进行法律论证和法律风险评价；</w:t>
      </w:r>
    </w:p>
    <w:p w14:paraId="411CE87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（二）就甲方及下属单位涉及资源整合、资产重组及改制合并等方案提出法律审核意见；</w:t>
      </w:r>
    </w:p>
    <w:p w14:paraId="2C4A97BE">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（三）参与甲方投融资、工程建设、项目开发等重大项目的业务谈判和签约活动；</w:t>
      </w:r>
    </w:p>
    <w:p w14:paraId="78B1CDA2">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（四）审查甲方日常经营、管理中的重要合同文书和法律文件，并提出法律意见、建议；</w:t>
      </w:r>
    </w:p>
    <w:p w14:paraId="76AAFAE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（五）参与涉及甲方的各类重大纠纷的调解和处理，接受甲方委托，以法律顾问名义发表声明或出具律师函；</w:t>
      </w:r>
    </w:p>
    <w:p w14:paraId="515C7A1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（六）同等条件下，优先代理甲方参加诉讼、仲裁、调解或执行活动；</w:t>
      </w:r>
    </w:p>
    <w:p w14:paraId="36683105">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（七）审查甲方内部管理的重要规章制度并提出法律意见；</w:t>
      </w:r>
    </w:p>
    <w:p w14:paraId="1A2BD326">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（八）为甲方建立健全内部管理提供法律咨询，协助甲方每年开展2次普法宣传教育和法律专题研讨；</w:t>
      </w:r>
    </w:p>
    <w:p w14:paraId="796EAE0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（九）应甲方要求参加或列席甲方涉及重要事项的会议并提出法律意见；</w:t>
      </w:r>
    </w:p>
    <w:p w14:paraId="5ED80F87">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（十）办理甲方委托的其他法律事务。</w:t>
      </w:r>
    </w:p>
    <w:p w14:paraId="7B29769A">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第五条 服务费用与支付</w:t>
      </w:r>
    </w:p>
    <w:p w14:paraId="300E013E">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常年法律顾问费： 甲方按年度向乙方支付法律顾问费为人民币</w:t>
      </w: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万元整（¥）。</w:t>
      </w:r>
    </w:p>
    <w:p w14:paraId="3086DBA4">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费用范围：合同期间，乙方为甲方办理本合同第四条约定的日常法律服务内容不另收费。</w:t>
      </w:r>
    </w:p>
    <w:p w14:paraId="61B728A1">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专项及诉讼代理服务： 乙方代理本合同第四条第（六）款及甲方及下属单位的改制、并购、重组、上市、投融资、工程建设等重大项目，提供专项法律服务的，甲方将根据乙方在参选文件中提供的收费参考报价，通过协商或比选的方式确定具体费用，另行签订专项服务合同。</w:t>
      </w:r>
    </w:p>
    <w:p w14:paraId="2DC05601">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差旅费用：法律顾问为甲方处理法律事务所支付的差旅、取证等必要费用由甲方承担，凭有效票据实报实销</w:t>
      </w:r>
      <w:r>
        <w:rPr>
          <w:rFonts w:hint="eastAsia" w:ascii="Times New Roman" w:hAnsi="Times New Roman" w:eastAsia="方正仿宋_GBK" w:cs="Times New Roman"/>
          <w:sz w:val="30"/>
          <w:szCs w:val="30"/>
        </w:rPr>
        <w:t>（按甲方管理规定执行）</w:t>
      </w:r>
      <w:r>
        <w:rPr>
          <w:rFonts w:ascii="Times New Roman" w:hAnsi="Times New Roman" w:eastAsia="方正仿宋_GBK" w:cs="Times New Roman"/>
          <w:sz w:val="30"/>
          <w:szCs w:val="30"/>
        </w:rPr>
        <w:t>。</w:t>
      </w:r>
    </w:p>
    <w:p w14:paraId="2DD18234">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第六条 甲方权利与义务</w:t>
      </w:r>
    </w:p>
    <w:p w14:paraId="006A7DEB">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甲方应为乙方开展法律顾问工作提供必要的工作条件和便利。</w:t>
      </w:r>
    </w:p>
    <w:p w14:paraId="788588D3">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乙方法律顾问律师在为甲方承办具体工作项目时，有权查阅与承办项目有关的文件资料、参加甲方召开的有关会议。</w:t>
      </w:r>
    </w:p>
    <w:p w14:paraId="12D11C0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第七条 乙方义务</w:t>
      </w:r>
    </w:p>
    <w:p w14:paraId="44328DE3">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乙方担任甲方常年法律顾问的律师，应当负有以下义务：</w:t>
      </w:r>
    </w:p>
    <w:p w14:paraId="1F94E1C9">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（一）告知与报告义务：乙方在完成甲方交办的工作事项后，应出具工作情况报告。乙方在社会活动中获悉的攸关甲方利益的信息，应及时通报甲方。</w:t>
      </w:r>
    </w:p>
    <w:p w14:paraId="4C50060E">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（二）警示义务：对甲方及下属单位管理工作中存在的法律风险问题，应实事求是地指出，并提出改进的法律意见和建议，及时反馈给甲方法务部。遇有重大情况时，可直接向甲方法务部负责人报告。</w:t>
      </w:r>
    </w:p>
    <w:p w14:paraId="5E8AF41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（三）保密义务：对工作中接触了解到的甲方工作机密或商业秘密以及其他不宜公开的内部信息，负有保密的责任。</w:t>
      </w:r>
    </w:p>
    <w:p w14:paraId="3D825C4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（四）忠实义务：不得从事有损于甲方利益和声誉的活动。</w:t>
      </w:r>
    </w:p>
    <w:p w14:paraId="548E9BAB">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（五）回避义务：在诉讼、调解或仲裁活动中，应履行国家相关法律法规规定的律师回避要求，不从事与甲方利益相冲突的事项。</w:t>
      </w:r>
    </w:p>
    <w:p w14:paraId="4B2E76B1">
      <w:pPr>
        <w:spacing w:line="520" w:lineRule="exact"/>
        <w:ind w:firstLine="600" w:firstLineChars="200"/>
        <w:rPr>
          <w:rFonts w:hint="eastAsia" w:ascii="Times New Roman" w:hAnsi="Times New Roman" w:eastAsia="方正仿宋_GBK" w:cs="Times New Roman"/>
          <w:sz w:val="30"/>
          <w:szCs w:val="30"/>
        </w:rPr>
      </w:pPr>
      <w:r>
        <w:rPr>
          <w:rFonts w:ascii="Times New Roman" w:hAnsi="Times New Roman" w:eastAsia="方正仿宋_GBK" w:cs="Times New Roman"/>
          <w:sz w:val="30"/>
          <w:szCs w:val="30"/>
        </w:rPr>
        <w:t>（六）普法教育义务：在担任甲方常年法律顾问期间，每年应根据甲方需求，安排律师提供不少于2次免费法律讲座或培训。</w:t>
      </w:r>
    </w:p>
    <w:p w14:paraId="3A03E40F">
      <w:pPr>
        <w:pStyle w:val="2"/>
        <w:rPr>
          <w:rFonts w:hint="eastAsia"/>
        </w:rPr>
      </w:pPr>
    </w:p>
    <w:p w14:paraId="485E8690"/>
    <w:p w14:paraId="776A2EC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附件一：《常年法律顾问服务考核办法》</w:t>
      </w:r>
    </w:p>
    <w:p w14:paraId="401BFBC8">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附件二：《季度考核表》</w:t>
      </w:r>
    </w:p>
    <w:p w14:paraId="0844DD81">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附件三：《年度考核表》</w:t>
      </w:r>
    </w:p>
    <w:p w14:paraId="6B557990">
      <w:pPr>
        <w:spacing w:line="520" w:lineRule="exact"/>
        <w:ind w:firstLine="600" w:firstLineChars="200"/>
        <w:rPr>
          <w:rFonts w:ascii="Times New Roman" w:hAnsi="Times New Roman" w:eastAsia="方正仿宋_GBK" w:cs="Times New Roman"/>
          <w:sz w:val="30"/>
          <w:szCs w:val="30"/>
        </w:rPr>
      </w:pPr>
    </w:p>
    <w:p w14:paraId="0435BF24">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【签署页，以下无正文】</w:t>
      </w:r>
    </w:p>
    <w:p w14:paraId="2C55A1F4">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甲方（聘请单位）： 重庆广播电视集团（总台）</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授权代表（签字）：______________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地址：重庆市渝北区龙山大道333号广电大厦</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联系人：______________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电话：______________</w:t>
      </w:r>
    </w:p>
    <w:p w14:paraId="2F015D38">
      <w:pPr>
        <w:spacing w:line="520" w:lineRule="exact"/>
        <w:ind w:left="596" w:leftChars="284"/>
        <w:rPr>
          <w:rFonts w:ascii="Times New Roman" w:hAnsi="Times New Roman" w:eastAsia="方正仿宋_GBK" w:cs="Times New Roman"/>
          <w:sz w:val="30"/>
          <w:szCs w:val="30"/>
        </w:rPr>
      </w:pPr>
      <w:r>
        <w:rPr>
          <w:rFonts w:ascii="Times New Roman" w:hAnsi="Times New Roman" w:eastAsia="方正仿宋_GBK" w:cs="Times New Roman"/>
          <w:sz w:val="30"/>
          <w:szCs w:val="30"/>
        </w:rPr>
        <w:t>乙方（受聘单位）： 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授权代表（签字）：______________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地址：______________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联系人：______________</w:t>
      </w:r>
      <w:r>
        <w:rPr>
          <w:rFonts w:ascii="Times New Roman" w:hAnsi="Times New Roman" w:eastAsia="方正仿宋_GBK" w:cs="Times New Roman"/>
          <w:sz w:val="30"/>
          <w:szCs w:val="30"/>
        </w:rPr>
        <w:br w:type="textWrapping"/>
      </w:r>
      <w:r>
        <w:rPr>
          <w:rFonts w:ascii="Times New Roman" w:hAnsi="Times New Roman" w:eastAsia="方正仿宋_GBK" w:cs="Times New Roman"/>
          <w:sz w:val="30"/>
          <w:szCs w:val="30"/>
        </w:rPr>
        <w:t>电话：______________</w:t>
      </w:r>
    </w:p>
    <w:p w14:paraId="3A3F2640">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签约时间： 年 月 日</w:t>
      </w:r>
    </w:p>
    <w:p w14:paraId="64447BE7">
      <w:pPr>
        <w:spacing w:line="520" w:lineRule="exact"/>
        <w:ind w:firstLine="600" w:firstLineChars="200"/>
        <w:rPr>
          <w:rFonts w:ascii="Times New Roman" w:hAnsi="Times New Roman" w:eastAsia="方正仿宋_GBK" w:cs="Times New Roman"/>
          <w:sz w:val="30"/>
          <w:szCs w:val="30"/>
        </w:rPr>
      </w:pPr>
    </w:p>
    <w:p w14:paraId="768452FF">
      <w:pPr>
        <w:spacing w:line="520" w:lineRule="exact"/>
        <w:ind w:firstLine="600" w:firstLineChars="200"/>
        <w:rPr>
          <w:rFonts w:ascii="Times New Roman" w:hAnsi="Times New Roman" w:eastAsia="方正仿宋_GBK" w:cs="Times New Roman"/>
          <w:sz w:val="30"/>
          <w:szCs w:val="30"/>
        </w:rPr>
      </w:pPr>
    </w:p>
    <w:p w14:paraId="1C54B417">
      <w:pPr>
        <w:spacing w:line="520" w:lineRule="exact"/>
        <w:ind w:firstLine="600" w:firstLineChars="200"/>
        <w:rPr>
          <w:rFonts w:ascii="Times New Roman" w:hAnsi="Times New Roman" w:eastAsia="方正仿宋_GBK" w:cs="Times New Roman"/>
          <w:sz w:val="30"/>
          <w:szCs w:val="30"/>
        </w:rPr>
      </w:pPr>
    </w:p>
    <w:p w14:paraId="4442A8D1">
      <w:pPr>
        <w:spacing w:line="520" w:lineRule="exact"/>
        <w:ind w:firstLine="600" w:firstLineChars="200"/>
        <w:rPr>
          <w:rFonts w:ascii="Times New Roman" w:hAnsi="Times New Roman" w:eastAsia="方正仿宋_GBK" w:cs="Times New Roman"/>
          <w:sz w:val="30"/>
          <w:szCs w:val="30"/>
        </w:rPr>
      </w:pPr>
    </w:p>
    <w:p w14:paraId="39E3B81D">
      <w:pPr>
        <w:spacing w:line="520" w:lineRule="exact"/>
        <w:ind w:firstLine="600" w:firstLineChars="200"/>
        <w:rPr>
          <w:rFonts w:ascii="Times New Roman" w:hAnsi="Times New Roman" w:eastAsia="方正仿宋_GBK" w:cs="Times New Roman"/>
          <w:sz w:val="30"/>
          <w:szCs w:val="30"/>
        </w:rPr>
      </w:pPr>
    </w:p>
    <w:p w14:paraId="44AECF63">
      <w:pPr>
        <w:spacing w:line="520" w:lineRule="exact"/>
        <w:ind w:firstLine="600" w:firstLineChars="200"/>
        <w:rPr>
          <w:rFonts w:ascii="Times New Roman" w:hAnsi="Times New Roman" w:eastAsia="方正仿宋_GBK" w:cs="Times New Roman"/>
          <w:sz w:val="30"/>
          <w:szCs w:val="30"/>
        </w:rPr>
      </w:pPr>
    </w:p>
    <w:p w14:paraId="33E4E808">
      <w:pPr>
        <w:spacing w:line="520" w:lineRule="exact"/>
        <w:ind w:firstLine="600" w:firstLineChars="200"/>
        <w:rPr>
          <w:rFonts w:ascii="Times New Roman" w:hAnsi="Times New Roman" w:eastAsia="方正仿宋_GBK" w:cs="Times New Roman"/>
          <w:sz w:val="30"/>
          <w:szCs w:val="30"/>
        </w:rPr>
      </w:pPr>
    </w:p>
    <w:p w14:paraId="38C36A02">
      <w:pPr>
        <w:spacing w:line="520" w:lineRule="exact"/>
        <w:ind w:firstLine="600" w:firstLineChars="200"/>
        <w:rPr>
          <w:rFonts w:ascii="Times New Roman" w:hAnsi="Times New Roman" w:eastAsia="方正仿宋_GBK" w:cs="Times New Roman"/>
          <w:sz w:val="30"/>
          <w:szCs w:val="30"/>
        </w:rPr>
      </w:pPr>
    </w:p>
    <w:p w14:paraId="7F647FC2">
      <w:pPr>
        <w:spacing w:line="520" w:lineRule="exact"/>
        <w:rPr>
          <w:rFonts w:ascii="Times New Roman" w:hAnsi="Times New Roman" w:eastAsia="方正仿宋_GBK"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44BB">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509F547">
                <w:pPr>
                  <w:pStyle w:val="4"/>
                </w:pPr>
                <w:r>
                  <w:rPr>
                    <w:rFonts w:hint="eastAsia"/>
                  </w:rPr>
                  <w:t xml:space="preserve">第 </w:t>
                </w:r>
                <w:r>
                  <w:fldChar w:fldCharType="begin"/>
                </w:r>
                <w:r>
                  <w:instrText xml:space="preserve"> PAGE  \* MERGEFORMAT </w:instrText>
                </w:r>
                <w:r>
                  <w:fldChar w:fldCharType="separate"/>
                </w:r>
                <w:r>
                  <w:t>26</w:t>
                </w:r>
                <w: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09653"/>
    <w:multiLevelType w:val="singleLevel"/>
    <w:tmpl w:val="AF609653"/>
    <w:lvl w:ilvl="0" w:tentative="0">
      <w:start w:val="1"/>
      <w:numFmt w:val="chineseCounting"/>
      <w:suff w:val="space"/>
      <w:lvlText w:val="第%1条"/>
      <w:lvlJc w:val="left"/>
      <w:rPr>
        <w:rFonts w:hint="eastAsia"/>
      </w:rPr>
    </w:lvl>
  </w:abstractNum>
  <w:abstractNum w:abstractNumId="1">
    <w:nsid w:val="F415B8CD"/>
    <w:multiLevelType w:val="singleLevel"/>
    <w:tmpl w:val="F415B8CD"/>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27D1"/>
    <w:rsid w:val="000171CE"/>
    <w:rsid w:val="000262AA"/>
    <w:rsid w:val="00032ACB"/>
    <w:rsid w:val="001D587D"/>
    <w:rsid w:val="00217EF0"/>
    <w:rsid w:val="00230FFD"/>
    <w:rsid w:val="00233917"/>
    <w:rsid w:val="003A6F93"/>
    <w:rsid w:val="003E676D"/>
    <w:rsid w:val="00435375"/>
    <w:rsid w:val="0044364B"/>
    <w:rsid w:val="004B74C1"/>
    <w:rsid w:val="005C6AEC"/>
    <w:rsid w:val="005E6704"/>
    <w:rsid w:val="006B7A10"/>
    <w:rsid w:val="006D2C41"/>
    <w:rsid w:val="007B4234"/>
    <w:rsid w:val="007C06C4"/>
    <w:rsid w:val="007C1A8D"/>
    <w:rsid w:val="007E27D1"/>
    <w:rsid w:val="007F7579"/>
    <w:rsid w:val="00893FD1"/>
    <w:rsid w:val="00966A87"/>
    <w:rsid w:val="00A13057"/>
    <w:rsid w:val="00A47AA7"/>
    <w:rsid w:val="00A57495"/>
    <w:rsid w:val="00A70FF0"/>
    <w:rsid w:val="00BC078B"/>
    <w:rsid w:val="00C32D62"/>
    <w:rsid w:val="00CF71A7"/>
    <w:rsid w:val="00D35036"/>
    <w:rsid w:val="00DB3F76"/>
    <w:rsid w:val="00DD3247"/>
    <w:rsid w:val="00E85E86"/>
    <w:rsid w:val="00EE5577"/>
    <w:rsid w:val="00F02CAA"/>
    <w:rsid w:val="00F521F3"/>
    <w:rsid w:val="00F741CE"/>
    <w:rsid w:val="00F914A1"/>
    <w:rsid w:val="03293E12"/>
    <w:rsid w:val="04E90BC3"/>
    <w:rsid w:val="1AA93BB2"/>
    <w:rsid w:val="1FC2264F"/>
    <w:rsid w:val="24117AA7"/>
    <w:rsid w:val="2FBB29A9"/>
    <w:rsid w:val="365C6576"/>
    <w:rsid w:val="39C812B3"/>
    <w:rsid w:val="3E982454"/>
    <w:rsid w:val="42D106CE"/>
    <w:rsid w:val="4EEFBEE0"/>
    <w:rsid w:val="556BC9F2"/>
    <w:rsid w:val="57B17240"/>
    <w:rsid w:val="5D011C22"/>
    <w:rsid w:val="6733026C"/>
    <w:rsid w:val="6EB7ED26"/>
    <w:rsid w:val="731D0471"/>
    <w:rsid w:val="794C71E4"/>
    <w:rsid w:val="7B9AE5A3"/>
    <w:rsid w:val="7CB42B05"/>
    <w:rsid w:val="7EC04E54"/>
    <w:rsid w:val="DEF7075D"/>
    <w:rsid w:val="DFDA8EC4"/>
    <w:rsid w:val="EFE7813B"/>
    <w:rsid w:val="FAF26A23"/>
    <w:rsid w:val="FDFE8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next w:val="2"/>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样式1"/>
    <w:basedOn w:val="1"/>
    <w:qFormat/>
    <w:uiPriority w:val="0"/>
    <w:pPr>
      <w:widowControl/>
      <w:shd w:val="clear" w:color="auto" w:fill="FFFFFF"/>
      <w:spacing w:before="240" w:after="240"/>
    </w:pPr>
    <w:rPr>
      <w:rFonts w:ascii="Segoe UI" w:hAnsi="Segoe UI" w:eastAsia="Segoe UI" w:cs="Segoe UI"/>
      <w:b/>
      <w:color w:val="0F1115"/>
      <w:sz w:val="24"/>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2525</Words>
  <Characters>14393</Characters>
  <Lines>119</Lines>
  <Paragraphs>33</Paragraphs>
  <TotalTime>4</TotalTime>
  <ScaleCrop>false</ScaleCrop>
  <LinksUpToDate>false</LinksUpToDate>
  <CharactersWithSpaces>16885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2025-12-04T09:05:00Z</dcterms:created>
  <dc:creator>42116</dc:creator>
  <cp:lastModifiedBy>zn</cp:lastModifiedBy>
  <cp:lastPrinted>2025-12-04T09:03:00Z</cp:lastPrinted>
  <dcterms:modified xsi:type="dcterms:W3CDTF">2025-12-05T02:18:22Z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CCA37BD28D60013A970C2D69A62A2AEB_42</vt:lpwstr>
  </property>
</Properties>
</file>