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E664">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bCs/>
          <w:sz w:val="52"/>
          <w:highlight w:val="none"/>
        </w:rPr>
      </w:pPr>
      <w:bookmarkStart w:id="0" w:name="_Toc28257347"/>
      <w:bookmarkStart w:id="1" w:name="_Toc526410659"/>
      <w:bookmarkStart w:id="2" w:name="_Toc82504851"/>
      <w:bookmarkStart w:id="3" w:name="_Toc526410660"/>
      <w:bookmarkStart w:id="4" w:name="_Toc82504852"/>
    </w:p>
    <w:p w14:paraId="4A45DC56">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bCs/>
          <w:sz w:val="52"/>
          <w:highlight w:val="none"/>
        </w:rPr>
      </w:pPr>
    </w:p>
    <w:p w14:paraId="682F102F">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bCs/>
          <w:sz w:val="52"/>
          <w:highlight w:val="none"/>
        </w:rPr>
      </w:pPr>
    </w:p>
    <w:p w14:paraId="61EC3026">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bCs/>
          <w:sz w:val="52"/>
          <w:highlight w:val="none"/>
        </w:rPr>
      </w:pPr>
    </w:p>
    <w:p w14:paraId="6490886B">
      <w:pPr>
        <w:pageBreakBefore w:val="0"/>
        <w:widowControl w:val="0"/>
        <w:kinsoku/>
        <w:wordWrap/>
        <w:overflowPunct/>
        <w:topLinePunct w:val="0"/>
        <w:bidi w:val="0"/>
        <w:adjustRightInd w:val="0"/>
        <w:snapToGrid w:val="0"/>
        <w:spacing w:line="360" w:lineRule="auto"/>
        <w:jc w:val="right"/>
        <w:textAlignment w:val="auto"/>
        <w:rPr>
          <w:rFonts w:ascii="方正姚体" w:hAnsi="方正姚体" w:eastAsia="方正姚体" w:cs="方正姚体"/>
          <w:b/>
          <w:bCs/>
          <w:sz w:val="48"/>
          <w:szCs w:val="48"/>
          <w:highlight w:val="none"/>
        </w:rPr>
      </w:pPr>
      <w:r>
        <w:rPr>
          <w:rFonts w:hint="eastAsia" w:ascii="方正姚体" w:hAnsi="方正姚体" w:eastAsia="方正姚体" w:cs="方正姚体"/>
          <w:b/>
          <w:bCs/>
          <w:sz w:val="48"/>
          <w:szCs w:val="48"/>
          <w:highlight w:val="none"/>
        </w:rPr>
        <w:t>重庆广播电视集团（总台）</w:t>
      </w:r>
    </w:p>
    <w:p w14:paraId="4453A983">
      <w:pPr>
        <w:pageBreakBefore w:val="0"/>
        <w:widowControl w:val="0"/>
        <w:kinsoku/>
        <w:wordWrap/>
        <w:overflowPunct/>
        <w:topLinePunct w:val="0"/>
        <w:bidi w:val="0"/>
        <w:adjustRightInd w:val="0"/>
        <w:snapToGrid w:val="0"/>
        <w:spacing w:line="360" w:lineRule="auto"/>
        <w:jc w:val="right"/>
        <w:textAlignment w:val="auto"/>
        <w:rPr>
          <w:rFonts w:ascii="方正姚体" w:hAnsi="方正姚体" w:eastAsia="方正姚体" w:cs="方正姚体"/>
          <w:b/>
          <w:bCs/>
          <w:sz w:val="48"/>
          <w:szCs w:val="48"/>
          <w:highlight w:val="none"/>
        </w:rPr>
      </w:pPr>
      <w:r>
        <w:rPr>
          <w:rFonts w:hint="eastAsia" w:ascii="方正姚体" w:hAnsi="方正姚体" w:eastAsia="方正姚体" w:cs="方正姚体"/>
          <w:b/>
          <w:bCs/>
          <w:sz w:val="48"/>
          <w:szCs w:val="48"/>
          <w:highlight w:val="none"/>
        </w:rPr>
        <w:t>网络安全等级保护测评服务</w:t>
      </w:r>
    </w:p>
    <w:p w14:paraId="3658A74F">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b/>
          <w:bCs/>
          <w:sz w:val="48"/>
          <w:szCs w:val="48"/>
          <w:highlight w:val="none"/>
        </w:rPr>
      </w:pPr>
      <w:r>
        <w:rPr>
          <w:rFonts w:hint="eastAsia" w:ascii="方正姚体" w:hAnsi="方正姚体" w:eastAsia="方正姚体" w:cs="方正姚体"/>
          <w:b/>
          <w:bCs/>
          <w:sz w:val="48"/>
          <w:szCs w:val="48"/>
          <w:highlight w:val="none"/>
        </w:rPr>
        <w:t>竞争性比选文件</w:t>
      </w:r>
    </w:p>
    <w:p w14:paraId="36B0C79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18BD38C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302D2C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20C2B0F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61236A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93E97C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71CDEDE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60BBF4D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55D310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7472A2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2AEA1BA1">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sz w:val="34"/>
          <w:szCs w:val="20"/>
          <w:highlight w:val="none"/>
        </w:rPr>
      </w:pPr>
    </w:p>
    <w:p w14:paraId="627E9219">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sz w:val="34"/>
          <w:szCs w:val="20"/>
          <w:highlight w:val="none"/>
        </w:rPr>
      </w:pPr>
    </w:p>
    <w:p w14:paraId="36DC4072">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重庆广播电视集团（总台）</w:t>
      </w:r>
    </w:p>
    <w:p w14:paraId="683A5E4C">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32"/>
          <w:highlight w:val="none"/>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hapStyle="1"/>
          <w:cols w:space="720" w:num="1"/>
          <w:titlePg/>
          <w:docGrid w:type="lines" w:linePitch="312" w:charSpace="0"/>
        </w:sectPr>
      </w:pPr>
    </w:p>
    <w:p w14:paraId="0DBD010A">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sz w:val="32"/>
          <w:highlight w:val="none"/>
        </w:rPr>
      </w:pPr>
      <w:r>
        <w:rPr>
          <w:rFonts w:hint="eastAsia" w:asciiTheme="minorEastAsia" w:hAnsiTheme="minorEastAsia" w:eastAsiaTheme="minorEastAsia" w:cstheme="minorEastAsia"/>
          <w:b/>
          <w:bCs/>
          <w:sz w:val="32"/>
          <w:highlight w:val="none"/>
        </w:rPr>
        <w:t>目  录</w:t>
      </w:r>
    </w:p>
    <w:p w14:paraId="5B00D221">
      <w:pPr>
        <w:pStyle w:val="14"/>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i/>
          <w:highlight w:val="none"/>
        </w:rPr>
      </w:pPr>
    </w:p>
    <w:p w14:paraId="7EE8DFF8">
      <w:pPr>
        <w:pStyle w:val="14"/>
        <w:tabs>
          <w:tab w:val="right" w:leader="dot" w:pos="8312"/>
        </w:tabs>
        <w:rPr>
          <w:highlight w:val="none"/>
        </w:rPr>
      </w:pPr>
      <w:bookmarkStart w:id="5" w:name="_Toc519919803"/>
      <w:r>
        <w:rPr>
          <w:rFonts w:hint="eastAsia" w:asciiTheme="minorEastAsia" w:hAnsiTheme="minorEastAsia" w:eastAsiaTheme="minorEastAsia" w:cstheme="minorEastAsia"/>
          <w:iCs/>
          <w:sz w:val="28"/>
          <w:highlight w:val="none"/>
        </w:rPr>
        <w:fldChar w:fldCharType="begin"/>
      </w:r>
      <w:r>
        <w:rPr>
          <w:rFonts w:hint="eastAsia" w:asciiTheme="minorEastAsia" w:hAnsiTheme="minorEastAsia" w:eastAsiaTheme="minorEastAsia" w:cstheme="minorEastAsia"/>
          <w:iCs/>
          <w:sz w:val="28"/>
          <w:highlight w:val="none"/>
        </w:rPr>
        <w:instrText xml:space="preserve">TOC \o "1-1" \h \u </w:instrText>
      </w:r>
      <w:r>
        <w:rPr>
          <w:rFonts w:hint="eastAsia" w:asciiTheme="minorEastAsia" w:hAnsiTheme="minorEastAsia" w:eastAsiaTheme="minorEastAsia" w:cstheme="minorEastAsia"/>
          <w:iCs/>
          <w:sz w:val="28"/>
          <w:highlight w:val="none"/>
        </w:rPr>
        <w:fldChar w:fldCharType="separate"/>
      </w:r>
      <w:r>
        <w:rPr>
          <w:rFonts w:hint="eastAsia" w:asciiTheme="minorEastAsia" w:hAnsiTheme="minorEastAsia" w:eastAsiaTheme="minorEastAsia" w:cstheme="minorEastAsia"/>
          <w:iCs/>
          <w:highlight w:val="none"/>
        </w:rPr>
        <w:fldChar w:fldCharType="begin"/>
      </w:r>
      <w:r>
        <w:rPr>
          <w:rFonts w:hint="eastAsia" w:asciiTheme="minorEastAsia" w:hAnsiTheme="minorEastAsia" w:eastAsiaTheme="minorEastAsia" w:cstheme="minorEastAsia"/>
          <w:iCs/>
          <w:highlight w:val="none"/>
        </w:rPr>
        <w:instrText xml:space="preserve"> HYPERLINK \l _Toc17473 </w:instrText>
      </w:r>
      <w:r>
        <w:rPr>
          <w:rFonts w:hint="eastAsia" w:asciiTheme="minorEastAsia" w:hAnsiTheme="minorEastAsia" w:eastAsiaTheme="minorEastAsia" w:cstheme="minorEastAsia"/>
          <w:iCs/>
          <w:highlight w:val="none"/>
        </w:rPr>
        <w:fldChar w:fldCharType="separate"/>
      </w:r>
      <w:r>
        <w:rPr>
          <w:rFonts w:hint="eastAsia" w:asciiTheme="minorEastAsia" w:hAnsiTheme="minorEastAsia" w:eastAsiaTheme="minorEastAsia" w:cstheme="minorEastAsia"/>
          <w:szCs w:val="36"/>
          <w:highlight w:val="none"/>
        </w:rPr>
        <w:t>竞争性比选项目要求</w:t>
      </w:r>
      <w:r>
        <w:rPr>
          <w:highlight w:val="none"/>
        </w:rPr>
        <w:tab/>
      </w:r>
      <w:r>
        <w:rPr>
          <w:highlight w:val="none"/>
        </w:rPr>
        <w:fldChar w:fldCharType="begin"/>
      </w:r>
      <w:r>
        <w:rPr>
          <w:highlight w:val="none"/>
        </w:rPr>
        <w:instrText xml:space="preserve"> PAGEREF _Toc17473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iCs/>
          <w:highlight w:val="none"/>
        </w:rPr>
        <w:fldChar w:fldCharType="end"/>
      </w:r>
    </w:p>
    <w:p w14:paraId="5BFC70CD">
      <w:pPr>
        <w:pStyle w:val="14"/>
        <w:tabs>
          <w:tab w:val="right" w:leader="dot" w:pos="8312"/>
        </w:tabs>
        <w:rPr>
          <w:highlight w:val="none"/>
        </w:rPr>
      </w:pPr>
      <w:r>
        <w:rPr>
          <w:rFonts w:hint="eastAsia" w:asciiTheme="minorEastAsia" w:hAnsiTheme="minorEastAsia" w:eastAsiaTheme="minorEastAsia" w:cstheme="minorEastAsia"/>
          <w:iCs/>
          <w:highlight w:val="none"/>
        </w:rPr>
        <w:fldChar w:fldCharType="begin"/>
      </w:r>
      <w:r>
        <w:rPr>
          <w:rFonts w:hint="eastAsia" w:asciiTheme="minorEastAsia" w:hAnsiTheme="minorEastAsia" w:eastAsiaTheme="minorEastAsia" w:cstheme="minorEastAsia"/>
          <w:iCs/>
          <w:highlight w:val="none"/>
        </w:rPr>
        <w:instrText xml:space="preserve"> HYPERLINK \l _Toc25326 </w:instrText>
      </w:r>
      <w:r>
        <w:rPr>
          <w:rFonts w:hint="eastAsia" w:asciiTheme="minorEastAsia" w:hAnsiTheme="minorEastAsia" w:eastAsiaTheme="minorEastAsia" w:cstheme="minorEastAsia"/>
          <w:iCs/>
          <w:highlight w:val="none"/>
        </w:rPr>
        <w:fldChar w:fldCharType="separate"/>
      </w:r>
      <w:r>
        <w:rPr>
          <w:rFonts w:hint="eastAsia" w:asciiTheme="minorEastAsia" w:hAnsiTheme="minorEastAsia" w:eastAsiaTheme="minorEastAsia" w:cstheme="minorEastAsia"/>
          <w:kern w:val="44"/>
          <w:highlight w:val="none"/>
        </w:rPr>
        <w:t>项目技术需求</w:t>
      </w:r>
      <w:r>
        <w:rPr>
          <w:highlight w:val="none"/>
        </w:rPr>
        <w:tab/>
      </w:r>
      <w:r>
        <w:rPr>
          <w:highlight w:val="none"/>
        </w:rPr>
        <w:fldChar w:fldCharType="begin"/>
      </w:r>
      <w:r>
        <w:rPr>
          <w:highlight w:val="none"/>
        </w:rPr>
        <w:instrText xml:space="preserve"> PAGEREF _Toc25326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iCs/>
          <w:highlight w:val="none"/>
        </w:rPr>
        <w:fldChar w:fldCharType="end"/>
      </w:r>
    </w:p>
    <w:p w14:paraId="4DAA1DD6">
      <w:pPr>
        <w:pStyle w:val="14"/>
        <w:tabs>
          <w:tab w:val="right" w:leader="dot" w:pos="8312"/>
        </w:tabs>
        <w:rPr>
          <w:highlight w:val="none"/>
        </w:rPr>
      </w:pPr>
      <w:r>
        <w:rPr>
          <w:rFonts w:hint="eastAsia" w:asciiTheme="minorEastAsia" w:hAnsiTheme="minorEastAsia" w:eastAsiaTheme="minorEastAsia" w:cstheme="minorEastAsia"/>
          <w:iCs/>
          <w:highlight w:val="none"/>
        </w:rPr>
        <w:fldChar w:fldCharType="begin"/>
      </w:r>
      <w:r>
        <w:rPr>
          <w:rFonts w:hint="eastAsia" w:asciiTheme="minorEastAsia" w:hAnsiTheme="minorEastAsia" w:eastAsiaTheme="minorEastAsia" w:cstheme="minorEastAsia"/>
          <w:iCs/>
          <w:highlight w:val="none"/>
        </w:rPr>
        <w:instrText xml:space="preserve"> HYPERLINK \l _Toc21308 </w:instrText>
      </w:r>
      <w:r>
        <w:rPr>
          <w:rFonts w:hint="eastAsia" w:asciiTheme="minorEastAsia" w:hAnsiTheme="minorEastAsia" w:eastAsiaTheme="minorEastAsia" w:cstheme="minorEastAsia"/>
          <w:iCs/>
          <w:highlight w:val="none"/>
        </w:rPr>
        <w:fldChar w:fldCharType="separate"/>
      </w:r>
      <w:r>
        <w:rPr>
          <w:rFonts w:hint="eastAsia" w:asciiTheme="minorEastAsia" w:hAnsiTheme="minorEastAsia" w:eastAsiaTheme="minorEastAsia" w:cstheme="minorEastAsia"/>
          <w:kern w:val="0"/>
          <w:szCs w:val="36"/>
          <w:highlight w:val="none"/>
        </w:rPr>
        <w:t>评审办法</w:t>
      </w:r>
      <w:r>
        <w:rPr>
          <w:highlight w:val="none"/>
        </w:rPr>
        <w:tab/>
      </w:r>
      <w:r>
        <w:rPr>
          <w:highlight w:val="none"/>
        </w:rPr>
        <w:fldChar w:fldCharType="begin"/>
      </w:r>
      <w:r>
        <w:rPr>
          <w:highlight w:val="none"/>
        </w:rPr>
        <w:instrText xml:space="preserve"> PAGEREF _Toc21308 \h </w:instrText>
      </w:r>
      <w:r>
        <w:rPr>
          <w:highlight w:val="none"/>
        </w:rPr>
        <w:fldChar w:fldCharType="separate"/>
      </w:r>
      <w:r>
        <w:rPr>
          <w:highlight w:val="none"/>
        </w:rPr>
        <w:t>8</w:t>
      </w:r>
      <w:r>
        <w:rPr>
          <w:highlight w:val="none"/>
        </w:rPr>
        <w:fldChar w:fldCharType="end"/>
      </w:r>
      <w:r>
        <w:rPr>
          <w:rFonts w:hint="eastAsia" w:asciiTheme="minorEastAsia" w:hAnsiTheme="minorEastAsia" w:eastAsiaTheme="minorEastAsia" w:cstheme="minorEastAsia"/>
          <w:iCs/>
          <w:highlight w:val="none"/>
        </w:rPr>
        <w:fldChar w:fldCharType="end"/>
      </w:r>
    </w:p>
    <w:p w14:paraId="14678500">
      <w:pPr>
        <w:pStyle w:val="14"/>
        <w:tabs>
          <w:tab w:val="right" w:leader="dot" w:pos="8312"/>
        </w:tabs>
        <w:rPr>
          <w:highlight w:val="none"/>
        </w:rPr>
      </w:pPr>
      <w:r>
        <w:rPr>
          <w:rFonts w:hint="eastAsia" w:asciiTheme="minorEastAsia" w:hAnsiTheme="minorEastAsia" w:eastAsiaTheme="minorEastAsia" w:cstheme="minorEastAsia"/>
          <w:iCs/>
          <w:highlight w:val="none"/>
        </w:rPr>
        <w:fldChar w:fldCharType="begin"/>
      </w:r>
      <w:r>
        <w:rPr>
          <w:rFonts w:hint="eastAsia" w:asciiTheme="minorEastAsia" w:hAnsiTheme="minorEastAsia" w:eastAsiaTheme="minorEastAsia" w:cstheme="minorEastAsia"/>
          <w:iCs/>
          <w:highlight w:val="none"/>
        </w:rPr>
        <w:instrText xml:space="preserve"> HYPERLINK \l _Toc5953 </w:instrText>
      </w:r>
      <w:r>
        <w:rPr>
          <w:rFonts w:hint="eastAsia" w:asciiTheme="minorEastAsia" w:hAnsiTheme="minorEastAsia" w:eastAsiaTheme="minorEastAsia" w:cstheme="minorEastAsia"/>
          <w:iCs/>
          <w:highlight w:val="none"/>
        </w:rPr>
        <w:fldChar w:fldCharType="separate"/>
      </w:r>
      <w:r>
        <w:rPr>
          <w:rFonts w:hint="eastAsia" w:asciiTheme="minorEastAsia" w:hAnsiTheme="minorEastAsia" w:eastAsiaTheme="minorEastAsia" w:cstheme="minorEastAsia"/>
          <w:kern w:val="0"/>
          <w:szCs w:val="36"/>
          <w:highlight w:val="none"/>
        </w:rPr>
        <w:t>比选参选人须知</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iCs/>
          <w:highlight w:val="none"/>
        </w:rPr>
        <w:fldChar w:fldCharType="end"/>
      </w:r>
    </w:p>
    <w:p w14:paraId="39B56C0F">
      <w:pPr>
        <w:pStyle w:val="14"/>
        <w:tabs>
          <w:tab w:val="right" w:leader="dot" w:pos="8312"/>
        </w:tabs>
        <w:rPr>
          <w:highlight w:val="none"/>
        </w:rPr>
      </w:pPr>
      <w:r>
        <w:rPr>
          <w:rFonts w:hint="eastAsia" w:asciiTheme="minorEastAsia" w:hAnsiTheme="minorEastAsia" w:eastAsiaTheme="minorEastAsia" w:cstheme="minorEastAsia"/>
          <w:iCs/>
          <w:highlight w:val="none"/>
        </w:rPr>
        <w:fldChar w:fldCharType="begin"/>
      </w:r>
      <w:r>
        <w:rPr>
          <w:rFonts w:hint="eastAsia" w:asciiTheme="minorEastAsia" w:hAnsiTheme="minorEastAsia" w:eastAsiaTheme="minorEastAsia" w:cstheme="minorEastAsia"/>
          <w:iCs/>
          <w:highlight w:val="none"/>
        </w:rPr>
        <w:instrText xml:space="preserve"> HYPERLINK \l _Toc24214 </w:instrText>
      </w:r>
      <w:r>
        <w:rPr>
          <w:rFonts w:hint="eastAsia" w:asciiTheme="minorEastAsia" w:hAnsiTheme="minorEastAsia" w:eastAsiaTheme="minorEastAsia" w:cstheme="minorEastAsia"/>
          <w:iCs/>
          <w:highlight w:val="none"/>
        </w:rPr>
        <w:fldChar w:fldCharType="separate"/>
      </w:r>
      <w:r>
        <w:rPr>
          <w:rFonts w:hint="eastAsia" w:asciiTheme="minorEastAsia" w:hAnsiTheme="minorEastAsia" w:eastAsiaTheme="minorEastAsia" w:cstheme="minorEastAsia"/>
          <w:szCs w:val="36"/>
          <w:highlight w:val="none"/>
        </w:rPr>
        <w:t>比选参选价格和相关费用清单</w:t>
      </w:r>
      <w:r>
        <w:rPr>
          <w:highlight w:val="none"/>
        </w:rPr>
        <w:tab/>
      </w:r>
      <w:r>
        <w:rPr>
          <w:highlight w:val="none"/>
        </w:rPr>
        <w:fldChar w:fldCharType="begin"/>
      </w:r>
      <w:r>
        <w:rPr>
          <w:highlight w:val="none"/>
        </w:rPr>
        <w:instrText xml:space="preserve"> PAGEREF _Toc24214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iCs/>
          <w:highlight w:val="none"/>
        </w:rPr>
        <w:fldChar w:fldCharType="end"/>
      </w:r>
    </w:p>
    <w:p w14:paraId="674644CE">
      <w:pPr>
        <w:pStyle w:val="14"/>
        <w:pageBreakBefore w:val="0"/>
        <w:tabs>
          <w:tab w:val="right" w:leader="dot" w:pos="8312"/>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iCs/>
          <w:sz w:val="28"/>
          <w:highlight w:val="none"/>
        </w:rPr>
      </w:pPr>
      <w:r>
        <w:rPr>
          <w:rFonts w:hint="eastAsia" w:asciiTheme="minorEastAsia" w:hAnsiTheme="minorEastAsia" w:eastAsiaTheme="minorEastAsia" w:cstheme="minorEastAsia"/>
          <w:iCs/>
          <w:highlight w:val="none"/>
        </w:rPr>
        <w:fldChar w:fldCharType="end"/>
      </w:r>
    </w:p>
    <w:bookmarkEnd w:id="5"/>
    <w:p w14:paraId="22CE3EC9">
      <w:pPr>
        <w:pageBreakBefore w:val="0"/>
        <w:kinsoku/>
        <w:wordWrap/>
        <w:overflowPunct/>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sz w:val="36"/>
          <w:szCs w:val="36"/>
          <w:highlight w:val="none"/>
        </w:rPr>
        <w:sectPr>
          <w:footerReference r:id="rId9" w:type="first"/>
          <w:footerReference r:id="rId8" w:type="default"/>
          <w:pgSz w:w="11906" w:h="16838"/>
          <w:pgMar w:top="1440" w:right="1797" w:bottom="1440" w:left="1797" w:header="851" w:footer="992" w:gutter="0"/>
          <w:pgNumType w:start="0" w:chapStyle="1"/>
          <w:cols w:space="720" w:num="1"/>
          <w:titlePg/>
          <w:docGrid w:type="lines" w:linePitch="312" w:charSpace="0"/>
        </w:sectPr>
      </w:pPr>
      <w:bookmarkStart w:id="6" w:name="_Toc2140128398"/>
      <w:bookmarkStart w:id="7" w:name="_Toc108791957"/>
      <w:bookmarkStart w:id="8" w:name="_Toc18700"/>
      <w:bookmarkStart w:id="9" w:name="_Toc6342"/>
      <w:bookmarkStart w:id="10" w:name="_Toc20053"/>
    </w:p>
    <w:p w14:paraId="6CB1ADBB">
      <w:pPr>
        <w:pageBreakBefore w:val="0"/>
        <w:kinsoku/>
        <w:wordWrap/>
        <w:overflowPunct/>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sz w:val="36"/>
          <w:szCs w:val="36"/>
          <w:highlight w:val="none"/>
        </w:rPr>
      </w:pPr>
      <w:bookmarkStart w:id="11" w:name="_Toc3512"/>
      <w:bookmarkStart w:id="12" w:name="_Toc17473"/>
      <w:r>
        <w:rPr>
          <w:rFonts w:hint="eastAsia" w:asciiTheme="minorEastAsia" w:hAnsiTheme="minorEastAsia" w:eastAsiaTheme="minorEastAsia" w:cstheme="minorEastAsia"/>
          <w:sz w:val="36"/>
          <w:szCs w:val="36"/>
          <w:highlight w:val="none"/>
        </w:rPr>
        <w:t>竞争性比选项目要求</w:t>
      </w:r>
      <w:bookmarkEnd w:id="6"/>
      <w:bookmarkEnd w:id="7"/>
      <w:bookmarkEnd w:id="8"/>
      <w:bookmarkEnd w:id="9"/>
      <w:bookmarkEnd w:id="10"/>
      <w:bookmarkEnd w:id="11"/>
      <w:bookmarkEnd w:id="12"/>
    </w:p>
    <w:p w14:paraId="5B640644">
      <w:pPr>
        <w:pageBreakBefore w:val="0"/>
        <w:kinsoku/>
        <w:wordWrap/>
        <w:overflowPunct/>
        <w:topLinePunct w:val="0"/>
        <w:bidi w:val="0"/>
        <w:adjustRightInd w:val="0"/>
        <w:snapToGrid w:val="0"/>
        <w:spacing w:line="360" w:lineRule="auto"/>
        <w:ind w:left="1797" w:hanging="1797"/>
        <w:textAlignment w:val="auto"/>
        <w:rPr>
          <w:rFonts w:hint="eastAsia" w:asciiTheme="minorEastAsia" w:hAnsiTheme="minorEastAsia" w:eastAsiaTheme="minorEastAsia" w:cstheme="minorEastAsia"/>
          <w:sz w:val="30"/>
          <w:highlight w:val="none"/>
        </w:rPr>
      </w:pPr>
    </w:p>
    <w:p w14:paraId="265B388D">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竞争性比选项目名称：</w:t>
      </w:r>
    </w:p>
    <w:p w14:paraId="6D5850EE">
      <w:pPr>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 xml:space="preserve">    本竞争性比选项目名称为重庆广播电视集团（总台</w:t>
      </w:r>
      <w:r>
        <w:rPr>
          <w:rFonts w:hint="eastAsia" w:asciiTheme="minorEastAsia" w:hAnsiTheme="minorEastAsia" w:eastAsiaTheme="minorEastAsia" w:cstheme="minorEastAsia"/>
          <w:sz w:val="24"/>
          <w:highlight w:val="none"/>
          <w:lang w:eastAsia="zh-CN"/>
        </w:rPr>
        <w:t>）</w:t>
      </w:r>
      <w:r>
        <w:rPr>
          <w:rFonts w:hint="eastAsia" w:ascii="宋体" w:hAnsi="宋体" w:eastAsia="宋体" w:cs="宋体"/>
          <w:color w:val="000000"/>
          <w:sz w:val="24"/>
          <w:szCs w:val="24"/>
          <w:highlight w:val="none"/>
        </w:rPr>
        <w:t>网络安全等级保护测评服务采购项目。</w:t>
      </w:r>
    </w:p>
    <w:p w14:paraId="52B27920">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竞争性比选内容</w:t>
      </w:r>
    </w:p>
    <w:p w14:paraId="756FC3CE">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宋体" w:hAnsi="宋体" w:eastAsia="宋体" w:cs="宋体"/>
          <w:sz w:val="24"/>
          <w:szCs w:val="24"/>
          <w:highlight w:val="none"/>
        </w:rPr>
        <w:t>本竞争性比选项目是重庆广播电视集团（总台）</w:t>
      </w:r>
      <w:r>
        <w:rPr>
          <w:rFonts w:hint="eastAsia" w:ascii="宋体" w:hAnsi="宋体" w:eastAsia="宋体" w:cs="宋体"/>
          <w:color w:val="000000"/>
          <w:sz w:val="24"/>
          <w:szCs w:val="24"/>
          <w:highlight w:val="none"/>
        </w:rPr>
        <w:t>网络安全等级保护测评服务采购</w:t>
      </w:r>
      <w:r>
        <w:rPr>
          <w:rFonts w:hint="eastAsia" w:ascii="宋体" w:hAnsi="宋体" w:eastAsia="宋体" w:cs="宋体"/>
          <w:sz w:val="24"/>
          <w:szCs w:val="24"/>
          <w:highlight w:val="none"/>
        </w:rPr>
        <w:t>，比选内容包括但不限于重庆广播电视集团（总台）三个</w:t>
      </w:r>
      <w:r>
        <w:rPr>
          <w:rFonts w:hint="eastAsia" w:ascii="宋体" w:hAnsi="宋体" w:eastAsia="宋体" w:cs="宋体"/>
          <w:color w:val="000000"/>
          <w:sz w:val="24"/>
          <w:szCs w:val="24"/>
          <w:highlight w:val="none"/>
        </w:rPr>
        <w:t>三级等保系统网络安全等级保护测评服务</w:t>
      </w:r>
      <w:r>
        <w:rPr>
          <w:rFonts w:hint="eastAsia" w:ascii="宋体" w:hAnsi="宋体" w:eastAsia="宋体" w:cs="宋体"/>
          <w:sz w:val="24"/>
          <w:szCs w:val="24"/>
          <w:highlight w:val="none"/>
        </w:rPr>
        <w:t>、人员培训、售后服务等，具体内容及主要要求详见《项目技术需求》章节。</w:t>
      </w:r>
    </w:p>
    <w:p w14:paraId="3E86A565">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主要比选内容如下：</w:t>
      </w:r>
    </w:p>
    <w:tbl>
      <w:tblPr>
        <w:tblStyle w:val="16"/>
        <w:tblW w:w="0" w:type="auto"/>
        <w:jc w:val="center"/>
        <w:tblLayout w:type="fixed"/>
        <w:tblCellMar>
          <w:top w:w="0" w:type="dxa"/>
          <w:left w:w="10" w:type="dxa"/>
          <w:bottom w:w="0" w:type="dxa"/>
          <w:right w:w="10" w:type="dxa"/>
        </w:tblCellMar>
      </w:tblPr>
      <w:tblGrid>
        <w:gridCol w:w="2445"/>
        <w:gridCol w:w="720"/>
        <w:gridCol w:w="750"/>
        <w:gridCol w:w="5180"/>
      </w:tblGrid>
      <w:tr w14:paraId="583BB607">
        <w:tblPrEx>
          <w:tblCellMar>
            <w:top w:w="0" w:type="dxa"/>
            <w:left w:w="10" w:type="dxa"/>
            <w:bottom w:w="0" w:type="dxa"/>
            <w:right w:w="10" w:type="dxa"/>
          </w:tblCellMar>
        </w:tblPrEx>
        <w:trPr>
          <w:trHeight w:val="0" w:hRule="atLeast"/>
          <w:jc w:val="center"/>
        </w:trPr>
        <w:tc>
          <w:tcPr>
            <w:tcW w:w="2445"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76BC031E">
            <w:pPr>
              <w:pageBreakBefore w:val="0"/>
              <w:widowControl w:val="0"/>
              <w:kinsoku/>
              <w:wordWrap/>
              <w:overflowPunct/>
              <w:topLinePunct w:val="0"/>
              <w:bidi w:val="0"/>
              <w:adjustRightInd w:val="0"/>
              <w:snapToGrid w:val="0"/>
              <w:spacing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名  称</w:t>
            </w:r>
          </w:p>
        </w:tc>
        <w:tc>
          <w:tcPr>
            <w:tcW w:w="72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56EF081D">
            <w:pPr>
              <w:pageBreakBefore w:val="0"/>
              <w:widowControl w:val="0"/>
              <w:kinsoku/>
              <w:wordWrap/>
              <w:overflowPunct/>
              <w:topLinePunct w:val="0"/>
              <w:bidi w:val="0"/>
              <w:adjustRightInd w:val="0"/>
              <w:snapToGrid w:val="0"/>
              <w:spacing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75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6BB1CD4B">
            <w:pPr>
              <w:pageBreakBefore w:val="0"/>
              <w:widowControl w:val="0"/>
              <w:kinsoku/>
              <w:wordWrap/>
              <w:overflowPunct/>
              <w:topLinePunct w:val="0"/>
              <w:bidi w:val="0"/>
              <w:adjustRightInd w:val="0"/>
              <w:snapToGrid w:val="0"/>
              <w:spacing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518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088E2350">
            <w:pPr>
              <w:pageBreakBefore w:val="0"/>
              <w:widowControl w:val="0"/>
              <w:kinsoku/>
              <w:wordWrap/>
              <w:overflowPunct/>
              <w:topLinePunct w:val="0"/>
              <w:bidi w:val="0"/>
              <w:adjustRightInd w:val="0"/>
              <w:snapToGrid w:val="0"/>
              <w:spacing w:line="360" w:lineRule="auto"/>
              <w:ind w:left="420" w:hanging="420"/>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主要采购内容</w:t>
            </w:r>
          </w:p>
        </w:tc>
      </w:tr>
      <w:tr w14:paraId="4B0D8388">
        <w:tblPrEx>
          <w:tblCellMar>
            <w:top w:w="0" w:type="dxa"/>
            <w:left w:w="10" w:type="dxa"/>
            <w:bottom w:w="0" w:type="dxa"/>
            <w:right w:w="10" w:type="dxa"/>
          </w:tblCellMar>
        </w:tblPrEx>
        <w:trPr>
          <w:jc w:val="center"/>
        </w:trPr>
        <w:tc>
          <w:tcPr>
            <w:tcW w:w="2445"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411BB6C4">
            <w:pPr>
              <w:pageBreakBefore w:val="0"/>
              <w:widowControl w:val="0"/>
              <w:kinsoku/>
              <w:wordWrap/>
              <w:overflowPunct/>
              <w:topLinePunct w:val="0"/>
              <w:bidi w:val="0"/>
              <w:adjustRightInd w:val="0"/>
              <w:snapToGrid w:val="0"/>
              <w:spacing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重庆广播电视集团（总台）</w:t>
            </w:r>
            <w:r>
              <w:rPr>
                <w:rFonts w:hint="eastAsia" w:ascii="宋体" w:hAnsi="宋体" w:eastAsia="宋体" w:cs="宋体"/>
                <w:color w:val="000000"/>
                <w:sz w:val="24"/>
                <w:szCs w:val="24"/>
                <w:highlight w:val="none"/>
              </w:rPr>
              <w:t>网络安全等级保护测评服务</w:t>
            </w:r>
          </w:p>
        </w:tc>
        <w:tc>
          <w:tcPr>
            <w:tcW w:w="72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74EF35CC">
            <w:pPr>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75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48C4825F">
            <w:pPr>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518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1376B868">
            <w:pPr>
              <w:pageBreakBefore w:val="0"/>
              <w:numPr>
                <w:ilvl w:val="0"/>
                <w:numId w:val="2"/>
              </w:numPr>
              <w:kinsoku/>
              <w:wordWrap/>
              <w:overflowPunct/>
              <w:topLinePunct w:val="0"/>
              <w:bidi w:val="0"/>
              <w:adjustRightInd w:val="0"/>
              <w:snapToGrid w:val="0"/>
              <w:spacing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融合新闻系统三级等保测评服务</w:t>
            </w:r>
            <w:r>
              <w:rPr>
                <w:rFonts w:hint="eastAsia" w:ascii="宋体" w:hAnsi="宋体" w:eastAsia="宋体" w:cs="宋体"/>
                <w:sz w:val="24"/>
                <w:szCs w:val="24"/>
                <w:highlight w:val="none"/>
                <w:lang w:eastAsia="zh-CN"/>
              </w:rPr>
              <w:t>；</w:t>
            </w:r>
          </w:p>
          <w:p w14:paraId="6322B768">
            <w:pPr>
              <w:pageBreakBefore w:val="0"/>
              <w:numPr>
                <w:ilvl w:val="0"/>
                <w:numId w:val="2"/>
              </w:numPr>
              <w:kinsoku/>
              <w:wordWrap/>
              <w:overflowPunct/>
              <w:topLinePunct w:val="0"/>
              <w:bidi w:val="0"/>
              <w:adjustRightInd w:val="0"/>
              <w:snapToGrid w:val="0"/>
              <w:spacing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全频道高清播总控系统三级等保测评服务</w:t>
            </w:r>
            <w:r>
              <w:rPr>
                <w:rFonts w:hint="eastAsia" w:ascii="宋体" w:hAnsi="宋体" w:eastAsia="宋体" w:cs="宋体"/>
                <w:sz w:val="24"/>
                <w:szCs w:val="24"/>
                <w:highlight w:val="none"/>
                <w:lang w:eastAsia="zh-CN"/>
              </w:rPr>
              <w:t>；</w:t>
            </w:r>
          </w:p>
          <w:p w14:paraId="747AED55">
            <w:pPr>
              <w:pageBreakBefore w:val="0"/>
              <w:numPr>
                <w:ilvl w:val="0"/>
                <w:numId w:val="2"/>
              </w:numPr>
              <w:kinsoku/>
              <w:wordWrap/>
              <w:overflowPunct/>
              <w:topLinePunct w:val="0"/>
              <w:bidi w:val="0"/>
              <w:adjustRightInd w:val="0"/>
              <w:snapToGrid w:val="0"/>
              <w:spacing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广播制播系统三级等保测评服务</w:t>
            </w:r>
            <w:r>
              <w:rPr>
                <w:rFonts w:hint="eastAsia" w:ascii="宋体" w:hAnsi="宋体" w:eastAsia="宋体" w:cs="宋体"/>
                <w:sz w:val="24"/>
                <w:szCs w:val="24"/>
                <w:highlight w:val="none"/>
                <w:lang w:eastAsia="zh-CN"/>
              </w:rPr>
              <w:t>。</w:t>
            </w:r>
          </w:p>
        </w:tc>
      </w:tr>
      <w:tr w14:paraId="038482CE">
        <w:tblPrEx>
          <w:tblCellMar>
            <w:top w:w="0" w:type="dxa"/>
            <w:left w:w="10" w:type="dxa"/>
            <w:bottom w:w="0" w:type="dxa"/>
            <w:right w:w="10" w:type="dxa"/>
          </w:tblCellMar>
        </w:tblPrEx>
        <w:trPr>
          <w:jc w:val="center"/>
        </w:trPr>
        <w:tc>
          <w:tcPr>
            <w:tcW w:w="9095" w:type="dxa"/>
            <w:gridSpan w:val="4"/>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18D88F9E">
            <w:pPr>
              <w:pageBreakBefore w:val="0"/>
              <w:numPr>
                <w:ilvl w:val="0"/>
                <w:numId w:val="3"/>
              </w:numPr>
              <w:kinsoku/>
              <w:wordWrap/>
              <w:overflowPunct/>
              <w:topLinePunct w:val="0"/>
              <w:bidi w:val="0"/>
              <w:adjustRightInd w:val="0"/>
              <w:snapToGrid w:val="0"/>
              <w:spacing w:line="360" w:lineRule="auto"/>
              <w:jc w:val="left"/>
              <w:textAlignment w:val="auto"/>
              <w:rPr>
                <w:rFonts w:ascii="宋体" w:hAnsi="宋体" w:eastAsia="宋体" w:cs="宋体"/>
                <w:sz w:val="24"/>
                <w:szCs w:val="24"/>
                <w:highlight w:val="none"/>
              </w:rPr>
            </w:pPr>
            <w:r>
              <w:rPr>
                <w:rFonts w:hint="eastAsia" w:ascii="宋体" w:hAnsi="宋体" w:eastAsia="宋体" w:cs="宋体"/>
                <w:color w:val="000000"/>
                <w:sz w:val="24"/>
                <w:szCs w:val="24"/>
                <w:highlight w:val="none"/>
              </w:rPr>
              <w:t>比选参选人须具备独立完成本项目的能力，中选后不得将该项目分包、转包给其它任何公司，包括子公司；</w:t>
            </w:r>
          </w:p>
          <w:p w14:paraId="2615C5FE">
            <w:pPr>
              <w:pageBreakBefore w:val="0"/>
              <w:numPr>
                <w:ilvl w:val="0"/>
                <w:numId w:val="3"/>
              </w:numPr>
              <w:kinsoku/>
              <w:wordWrap/>
              <w:overflowPunct/>
              <w:topLinePunct w:val="0"/>
              <w:bidi w:val="0"/>
              <w:adjustRightInd w:val="0"/>
              <w:snapToGrid w:val="0"/>
              <w:spacing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比选参选人须对比选参选内容开具</w:t>
            </w:r>
            <w:r>
              <w:rPr>
                <w:rFonts w:hint="eastAsia" w:ascii="宋体" w:hAnsi="宋体" w:eastAsia="宋体" w:cs="宋体"/>
                <w:b/>
                <w:bCs/>
                <w:sz w:val="24"/>
                <w:szCs w:val="24"/>
                <w:highlight w:val="none"/>
              </w:rPr>
              <w:t>增值税专用发票（提供书面承诺并加盖比选参选人单位公章）</w:t>
            </w:r>
          </w:p>
        </w:tc>
      </w:tr>
    </w:tbl>
    <w:p w14:paraId="24FB12E2">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比选概况</w:t>
      </w:r>
    </w:p>
    <w:p w14:paraId="289D6C04">
      <w:pPr>
        <w:pageBreakBefore w:val="0"/>
        <w:numPr>
          <w:ilvl w:val="0"/>
          <w:numId w:val="4"/>
        </w:numPr>
        <w:kinsoku/>
        <w:wordWrap/>
        <w:overflowPunct/>
        <w:topLinePunct w:val="0"/>
        <w:bidi w:val="0"/>
        <w:adjustRightInd w:val="0"/>
        <w:snapToGrid w:val="0"/>
        <w:spacing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最高限价</w:t>
      </w:r>
    </w:p>
    <w:p w14:paraId="48FA9FE6">
      <w:pPr>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人民币</w:t>
      </w:r>
      <w:r>
        <w:rPr>
          <w:rFonts w:hint="eastAsia" w:asciiTheme="minorEastAsia" w:hAnsiTheme="minorEastAsia" w:eastAsiaTheme="minorEastAsia" w:cstheme="minorEastAsia"/>
          <w:b/>
          <w:sz w:val="24"/>
          <w:highlight w:val="none"/>
          <w:u w:val="single"/>
          <w:lang w:val="en-US" w:eastAsia="zh-CN"/>
        </w:rPr>
        <w:t>23</w:t>
      </w:r>
      <w:r>
        <w:rPr>
          <w:rFonts w:hint="eastAsia" w:asciiTheme="minorEastAsia" w:hAnsiTheme="minorEastAsia" w:eastAsiaTheme="minorEastAsia" w:cstheme="minorEastAsia"/>
          <w:b/>
          <w:sz w:val="24"/>
          <w:highlight w:val="none"/>
        </w:rPr>
        <w:t>万元</w:t>
      </w:r>
    </w:p>
    <w:p w14:paraId="6DA9A604">
      <w:pPr>
        <w:pageBreakBefore w:val="0"/>
        <w:numPr>
          <w:ilvl w:val="0"/>
          <w:numId w:val="4"/>
        </w:numPr>
        <w:kinsoku/>
        <w:wordWrap/>
        <w:overflowPunct/>
        <w:topLinePunct w:val="0"/>
        <w:bidi w:val="0"/>
        <w:adjustRightInd w:val="0"/>
        <w:snapToGrid w:val="0"/>
        <w:spacing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服务期限</w:t>
      </w:r>
      <w:r>
        <w:rPr>
          <w:rFonts w:hint="eastAsia" w:asciiTheme="minorEastAsia" w:hAnsiTheme="minorEastAsia" w:eastAsiaTheme="minorEastAsia" w:cstheme="minorEastAsia"/>
          <w:sz w:val="24"/>
          <w:highlight w:val="none"/>
        </w:rPr>
        <w:t>：</w:t>
      </w:r>
    </w:p>
    <w:p w14:paraId="1B9F7422">
      <w:pPr>
        <w:pageBreakBefore w:val="0"/>
        <w:kinsoku/>
        <w:wordWrap/>
        <w:overflowPunct/>
        <w:topLinePunct w:val="0"/>
        <w:bidi w:val="0"/>
        <w:adjustRightInd w:val="0"/>
        <w:snapToGrid w:val="0"/>
        <w:spacing w:line="360" w:lineRule="auto"/>
        <w:ind w:firstLine="48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本项目服务期限为</w:t>
      </w:r>
      <w:r>
        <w:rPr>
          <w:rFonts w:hint="eastAsia" w:asciiTheme="minorEastAsia" w:hAnsiTheme="minorEastAsia" w:eastAsiaTheme="minorEastAsia" w:cstheme="minorEastAsia"/>
          <w:sz w:val="24"/>
          <w:highlight w:val="none"/>
        </w:rPr>
        <w:t>合同签订后</w:t>
      </w:r>
      <w:r>
        <w:rPr>
          <w:rFonts w:hint="eastAsia" w:asciiTheme="minorEastAsia" w:hAnsiTheme="minorEastAsia" w:eastAsiaTheme="minorEastAsia" w:cstheme="minorEastAsia"/>
          <w:sz w:val="24"/>
          <w:highlight w:val="none"/>
          <w:lang w:val="en-US" w:eastAsia="zh-CN"/>
        </w:rPr>
        <w:t>1年内，其中测评服务需在合同签订后1个月内完成</w:t>
      </w:r>
      <w:r>
        <w:rPr>
          <w:rFonts w:hint="eastAsia" w:asciiTheme="minorEastAsia" w:hAnsiTheme="minorEastAsia" w:eastAsiaTheme="minorEastAsia" w:cstheme="minorEastAsia"/>
          <w:sz w:val="24"/>
          <w:highlight w:val="none"/>
        </w:rPr>
        <w:t>。</w:t>
      </w:r>
    </w:p>
    <w:p w14:paraId="7CE05645">
      <w:pPr>
        <w:pageBreakBefore w:val="0"/>
        <w:numPr>
          <w:ilvl w:val="0"/>
          <w:numId w:val="4"/>
        </w:numPr>
        <w:kinsoku/>
        <w:wordWrap/>
        <w:overflowPunct/>
        <w:topLinePunct w:val="0"/>
        <w:bidi w:val="0"/>
        <w:adjustRightInd w:val="0"/>
        <w:snapToGrid w:val="0"/>
        <w:spacing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业主方：</w:t>
      </w:r>
    </w:p>
    <w:p w14:paraId="528BCA04">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重庆广播电视集团（总台）</w:t>
      </w:r>
    </w:p>
    <w:p w14:paraId="355FD162">
      <w:pPr>
        <w:pageBreakBefore w:val="0"/>
        <w:numPr>
          <w:ilvl w:val="0"/>
          <w:numId w:val="4"/>
        </w:numPr>
        <w:kinsoku/>
        <w:wordWrap/>
        <w:overflowPunct/>
        <w:topLinePunct w:val="0"/>
        <w:bidi w:val="0"/>
        <w:adjustRightInd w:val="0"/>
        <w:snapToGrid w:val="0"/>
        <w:spacing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交付地点：</w:t>
      </w:r>
    </w:p>
    <w:p w14:paraId="609842E1">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由业主方指定。</w:t>
      </w:r>
    </w:p>
    <w:p w14:paraId="6B15FD07">
      <w:pPr>
        <w:pageBreakBefore w:val="0"/>
        <w:numPr>
          <w:ilvl w:val="0"/>
          <w:numId w:val="4"/>
        </w:numPr>
        <w:kinsoku/>
        <w:wordWrap/>
        <w:overflowPunct/>
        <w:topLinePunct w:val="0"/>
        <w:bidi w:val="0"/>
        <w:adjustRightInd w:val="0"/>
        <w:snapToGrid w:val="0"/>
        <w:spacing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w:t>
      </w:r>
    </w:p>
    <w:p w14:paraId="3AC985DF">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rPr>
        <w:t>用人民币报价。</w:t>
      </w:r>
    </w:p>
    <w:p w14:paraId="2C40813A">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rPr>
        <w:t>比选参选报价应按分项报价表详细填写，并对报价范围有详细的文字说明。</w:t>
      </w:r>
    </w:p>
    <w:p w14:paraId="46628E2C">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rPr>
        <w:t>比选参选人在比选时所报各项价格在合同执行过程中不得高于比选报价。</w:t>
      </w:r>
    </w:p>
    <w:p w14:paraId="4211FB44">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rPr>
        <w:t>业主方有权选择比选参选内容的部分或者全部，比选参选人应承诺比选参选的价格和服务不变。</w:t>
      </w:r>
    </w:p>
    <w:p w14:paraId="0E716897">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rPr>
        <w:t>比选参选报价包括提供本项目所需服务涉及的费用和险费、税金、售后服务及其它费用，业主方不再支付任何费用。</w:t>
      </w:r>
    </w:p>
    <w:p w14:paraId="53E19554">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30"/>
          <w:highlight w:val="none"/>
        </w:rPr>
        <w:t>比选商务</w:t>
      </w:r>
    </w:p>
    <w:p w14:paraId="35769D53">
      <w:pPr>
        <w:pageBreakBefore w:val="0"/>
        <w:numPr>
          <w:ilvl w:val="0"/>
          <w:numId w:val="6"/>
        </w:numPr>
        <w:kinsoku/>
        <w:wordWrap/>
        <w:overflowPunct/>
        <w:topLinePunct w:val="0"/>
        <w:bidi w:val="0"/>
        <w:adjustRightInd w:val="0"/>
        <w:snapToGrid w:val="0"/>
        <w:spacing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支付方式</w:t>
      </w:r>
    </w:p>
    <w:p w14:paraId="153C5BD2">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合同签订后，重庆广播电视集团（总台）支付合同总金额的40%，出具全部报告并完成项目验收后支付合同总金额的60%。</w:t>
      </w:r>
    </w:p>
    <w:p w14:paraId="18480F46">
      <w:pPr>
        <w:pageBreakBefore w:val="0"/>
        <w:widowControl w:val="0"/>
        <w:numPr>
          <w:ilvl w:val="0"/>
          <w:numId w:val="6"/>
        </w:numPr>
        <w:kinsoku/>
        <w:wordWrap/>
        <w:overflowPunct/>
        <w:topLinePunct w:val="0"/>
        <w:bidi w:val="0"/>
        <w:adjustRightInd w:val="0"/>
        <w:snapToGrid w:val="0"/>
        <w:spacing w:line="360" w:lineRule="auto"/>
        <w:textAlignment w:val="auto"/>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项目验收</w:t>
      </w:r>
    </w:p>
    <w:p w14:paraId="5EDA67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FF0000"/>
          <w:sz w:val="24"/>
          <w:szCs w:val="24"/>
          <w:highlight w:val="none"/>
        </w:rPr>
      </w:pPr>
      <w:r>
        <w:rPr>
          <w:rFonts w:hint="eastAsia" w:ascii="宋体" w:hAnsi="Times New Roman" w:eastAsia="宋体" w:cs="宋体"/>
          <w:color w:val="auto"/>
          <w:sz w:val="24"/>
          <w:szCs w:val="24"/>
          <w:highlight w:val="none"/>
        </w:rPr>
        <w:t>由</w:t>
      </w:r>
      <w:r>
        <w:rPr>
          <w:rFonts w:hint="eastAsia" w:ascii="宋体" w:hAnsi="Times New Roman" w:eastAsia="宋体" w:cs="宋体"/>
          <w:color w:val="auto"/>
          <w:sz w:val="24"/>
          <w:szCs w:val="24"/>
          <w:highlight w:val="none"/>
          <w:lang w:eastAsia="zh-CN"/>
        </w:rPr>
        <w:t>业主方</w:t>
      </w:r>
      <w:r>
        <w:rPr>
          <w:rFonts w:hint="eastAsia" w:ascii="宋体" w:hAnsi="Times New Roman" w:eastAsia="宋体" w:cs="宋体"/>
          <w:color w:val="auto"/>
          <w:sz w:val="24"/>
          <w:szCs w:val="24"/>
          <w:highlight w:val="none"/>
        </w:rPr>
        <w:t>组织对该项目的验收</w:t>
      </w:r>
      <w:r>
        <w:rPr>
          <w:rFonts w:hint="eastAsia" w:ascii="宋体" w:hAnsi="Times New Roman" w:eastAsia="宋体" w:cs="宋体"/>
          <w:color w:val="auto"/>
          <w:sz w:val="24"/>
          <w:szCs w:val="24"/>
          <w:highlight w:val="none"/>
          <w:lang w:eastAsia="zh-CN"/>
        </w:rPr>
        <w:t>，</w:t>
      </w:r>
      <w:r>
        <w:rPr>
          <w:rFonts w:hint="eastAsia" w:ascii="宋体" w:hAnsi="宋体" w:eastAsia="宋体" w:cs="宋体"/>
          <w:color w:val="auto"/>
          <w:sz w:val="24"/>
          <w:szCs w:val="24"/>
          <w:highlight w:val="none"/>
        </w:rPr>
        <w:t>中选人提交测评相关工作成果，配合业主方确保三个</w:t>
      </w:r>
      <w:r>
        <w:rPr>
          <w:rFonts w:hint="eastAsia" w:ascii="宋体" w:hAnsi="宋体" w:eastAsia="宋体" w:cs="宋体"/>
          <w:color w:val="auto"/>
          <w:sz w:val="24"/>
          <w:szCs w:val="24"/>
          <w:highlight w:val="none"/>
          <w:lang w:eastAsia="zh-CN"/>
        </w:rPr>
        <w:t>被测</w:t>
      </w:r>
      <w:r>
        <w:rPr>
          <w:rFonts w:hint="eastAsia" w:ascii="宋体" w:hAnsi="宋体" w:eastAsia="宋体" w:cs="宋体"/>
          <w:color w:val="auto"/>
          <w:sz w:val="24"/>
          <w:szCs w:val="24"/>
          <w:highlight w:val="none"/>
        </w:rPr>
        <w:t>系统均达到三级</w:t>
      </w:r>
      <w:r>
        <w:rPr>
          <w:rFonts w:hint="eastAsia" w:ascii="宋体" w:hAnsi="宋体" w:eastAsia="宋体" w:cs="宋体"/>
          <w:color w:val="auto"/>
          <w:sz w:val="24"/>
          <w:szCs w:val="24"/>
          <w:highlight w:val="none"/>
          <w:lang w:eastAsia="zh-CN"/>
        </w:rPr>
        <w:t>网络安全</w:t>
      </w:r>
      <w:r>
        <w:rPr>
          <w:rFonts w:hint="eastAsia" w:ascii="宋体" w:hAnsi="宋体" w:eastAsia="宋体" w:cs="宋体"/>
          <w:color w:val="auto"/>
          <w:sz w:val="24"/>
          <w:szCs w:val="24"/>
          <w:highlight w:val="none"/>
        </w:rPr>
        <w:t>等级保护标准。</w:t>
      </w:r>
    </w:p>
    <w:p w14:paraId="2A57D976">
      <w:pPr>
        <w:pageBreakBefore w:val="0"/>
        <w:widowControl w:val="0"/>
        <w:numPr>
          <w:ilvl w:val="0"/>
          <w:numId w:val="6"/>
        </w:numPr>
        <w:kinsoku/>
        <w:wordWrap/>
        <w:overflowPunct/>
        <w:topLinePunct w:val="0"/>
        <w:bidi w:val="0"/>
        <w:adjustRightInd w:val="0"/>
        <w:snapToGrid w:val="0"/>
        <w:spacing w:line="360" w:lineRule="auto"/>
        <w:textAlignment w:val="auto"/>
        <w:outlineLvl w:val="2"/>
        <w:rPr>
          <w:rFonts w:ascii="宋体" w:hAnsi="宋体" w:eastAsia="宋体" w:cs="宋体"/>
          <w:sz w:val="24"/>
          <w:szCs w:val="24"/>
          <w:highlight w:val="none"/>
        </w:rPr>
      </w:pPr>
      <w:r>
        <w:rPr>
          <w:rFonts w:hint="eastAsia" w:ascii="宋体" w:hAnsi="宋体" w:eastAsia="宋体" w:cs="宋体"/>
          <w:sz w:val="24"/>
          <w:szCs w:val="24"/>
          <w:highlight w:val="none"/>
        </w:rPr>
        <w:t>售后服务</w:t>
      </w:r>
    </w:p>
    <w:p w14:paraId="4CDAEB9A">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参选人若中选，</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在服务期限内</w:t>
      </w:r>
      <w:r>
        <w:rPr>
          <w:rFonts w:hint="eastAsia" w:ascii="宋体" w:hAnsi="宋体" w:eastAsia="宋体" w:cs="宋体"/>
          <w:sz w:val="24"/>
          <w:szCs w:val="24"/>
          <w:highlight w:val="none"/>
          <w:lang w:val="en-US" w:eastAsia="zh-CN"/>
        </w:rPr>
        <w:t>免费</w:t>
      </w:r>
      <w:r>
        <w:rPr>
          <w:rFonts w:hint="eastAsia" w:ascii="宋体" w:hAnsi="宋体" w:eastAsia="宋体" w:cs="宋体"/>
          <w:sz w:val="24"/>
          <w:szCs w:val="24"/>
          <w:highlight w:val="none"/>
        </w:rPr>
        <w:t>提供7×24 小时电话或在线技术支持服务</w:t>
      </w:r>
      <w:r>
        <w:rPr>
          <w:rFonts w:hint="eastAsia" w:ascii="宋体" w:hAnsi="宋体" w:eastAsia="宋体" w:cs="宋体"/>
          <w:sz w:val="24"/>
          <w:szCs w:val="24"/>
          <w:highlight w:val="none"/>
          <w:lang w:eastAsia="zh-CN"/>
        </w:rPr>
        <w:t>（</w:t>
      </w:r>
      <w:r>
        <w:rPr>
          <w:rFonts w:hint="eastAsia" w:asciiTheme="minorEastAsia" w:hAnsiTheme="minorEastAsia" w:eastAsiaTheme="minorEastAsia" w:cstheme="minorEastAsia"/>
          <w:b/>
          <w:bCs/>
          <w:sz w:val="24"/>
          <w:highlight w:val="none"/>
        </w:rPr>
        <w:t>提供书面承诺并加盖比选参选人单位公章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31DB5193">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参选人若中选，须</w:t>
      </w:r>
      <w:r>
        <w:rPr>
          <w:rFonts w:hint="eastAsia" w:ascii="宋体" w:hAnsi="宋体" w:eastAsia="宋体" w:cs="宋体"/>
          <w:color w:val="auto"/>
          <w:sz w:val="24"/>
          <w:szCs w:val="24"/>
          <w:highlight w:val="none"/>
        </w:rPr>
        <w:t>在服务期限内</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rPr>
        <w:t>提供信息安全规划、方针、策略和管理制度体系咨询服务，为被测信息系统安全整改和加固提供咨询和技术服务</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b/>
          <w:bCs/>
          <w:sz w:val="24"/>
          <w:highlight w:val="none"/>
        </w:rPr>
        <w:t>提供书面承诺并加盖比选参选人单位公章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22B9B22">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color w:val="000000"/>
          <w:sz w:val="24"/>
          <w:szCs w:val="24"/>
          <w:highlight w:val="none"/>
        </w:rPr>
      </w:pPr>
      <w:r>
        <w:rPr>
          <w:rFonts w:hint="eastAsia" w:ascii="宋体" w:hAnsi="宋体" w:eastAsia="宋体" w:cs="宋体"/>
          <w:sz w:val="24"/>
          <w:szCs w:val="24"/>
          <w:highlight w:val="none"/>
        </w:rPr>
        <w:t>比选参选人应在比选参选方案中提供售后服务计划及措施（服务团队人数、办公地址、联系电话、服务响应时间）。</w:t>
      </w:r>
    </w:p>
    <w:p w14:paraId="25078662">
      <w:pPr>
        <w:pageBreakBefore w:val="0"/>
        <w:widowControl w:val="0"/>
        <w:numPr>
          <w:ilvl w:val="0"/>
          <w:numId w:val="6"/>
        </w:numPr>
        <w:kinsoku/>
        <w:wordWrap/>
        <w:overflowPunct/>
        <w:topLinePunct w:val="0"/>
        <w:bidi w:val="0"/>
        <w:adjustRightInd w:val="0"/>
        <w:snapToGrid w:val="0"/>
        <w:spacing w:line="360" w:lineRule="auto"/>
        <w:textAlignment w:val="auto"/>
        <w:outlineLvl w:val="2"/>
        <w:rPr>
          <w:rFonts w:hint="eastAsia" w:ascii="宋体" w:hAnsi="宋体" w:eastAsia="宋体" w:cs="宋体"/>
          <w:sz w:val="24"/>
          <w:szCs w:val="24"/>
          <w:highlight w:val="none"/>
        </w:rPr>
      </w:pPr>
      <w:bookmarkStart w:id="13" w:name="_Toc59789646"/>
      <w:bookmarkStart w:id="14" w:name="_Toc31184_WPSOffice_Level2"/>
      <w:bookmarkStart w:id="15" w:name="_Toc519919807"/>
      <w:r>
        <w:rPr>
          <w:rFonts w:hint="eastAsia" w:ascii="宋体" w:hAnsi="宋体" w:eastAsia="宋体" w:cs="宋体"/>
          <w:sz w:val="24"/>
          <w:szCs w:val="24"/>
          <w:highlight w:val="none"/>
          <w:lang w:eastAsia="zh-CN"/>
        </w:rPr>
        <w:t>知识产权和</w:t>
      </w:r>
      <w:r>
        <w:rPr>
          <w:rFonts w:hint="eastAsia" w:ascii="宋体" w:hAnsi="宋体" w:eastAsia="宋体" w:cs="宋体"/>
          <w:sz w:val="24"/>
          <w:szCs w:val="24"/>
          <w:highlight w:val="none"/>
        </w:rPr>
        <w:t>保密要求</w:t>
      </w:r>
    </w:p>
    <w:p w14:paraId="55C634DF">
      <w:pPr>
        <w:pageBreakBefore w:val="0"/>
        <w:widowControl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参选人若中选，业主方使用参选人提供的货物及服务时免受第三方提出的侵犯其专利权或其它知识产权的起诉。如果第三方提出侵权指控，参选人应承担由此而引起的一切法律责任和费用。</w:t>
      </w:r>
    </w:p>
    <w:p w14:paraId="266A7418">
      <w:pPr>
        <w:pageBreakBefore w:val="0"/>
        <w:widowControl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参选人若中选，须</w:t>
      </w:r>
      <w:r>
        <w:rPr>
          <w:rFonts w:hint="eastAsia" w:ascii="宋体" w:hAnsi="宋体" w:eastAsia="宋体" w:cs="宋体"/>
          <w:sz w:val="24"/>
          <w:szCs w:val="24"/>
          <w:highlight w:val="none"/>
        </w:rPr>
        <w:t>按照业主方要求签订保密协议，对业主方提供的所有资料以及在测评过程中所接触的商业秘密、技术资料、客户信息等资料和信息负有保密义务，不得以任何形式对外透露本项目任何内容。</w:t>
      </w:r>
    </w:p>
    <w:p w14:paraId="444ECF5D">
      <w:pPr>
        <w:pageBreakBefore w:val="0"/>
        <w:widowControl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参选人若中选，须</w:t>
      </w:r>
      <w:r>
        <w:rPr>
          <w:rFonts w:hint="eastAsia" w:ascii="宋体" w:hAnsi="宋体" w:eastAsia="宋体" w:cs="宋体"/>
          <w:sz w:val="24"/>
          <w:szCs w:val="24"/>
          <w:highlight w:val="none"/>
        </w:rPr>
        <w:t>针对本项目相关的纸质、声音、影像、图像、电子等各种形态资料及其载体建立保密管控措施。</w:t>
      </w:r>
    </w:p>
    <w:p w14:paraId="28642B58">
      <w:pPr>
        <w:pageBreakBefore w:val="0"/>
        <w:widowControl w:val="0"/>
        <w:numPr>
          <w:ilvl w:val="0"/>
          <w:numId w:val="5"/>
        </w:numPr>
        <w:kinsoku/>
        <w:wordWrap/>
        <w:overflowPunct/>
        <w:topLinePunct w:val="0"/>
        <w:bidi w:val="0"/>
        <w:adjustRightInd w:val="0"/>
        <w:snapToGrid w:val="0"/>
        <w:spacing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参选人若中选，</w:t>
      </w:r>
      <w:r>
        <w:rPr>
          <w:rFonts w:hint="eastAsia" w:ascii="宋体" w:hAnsi="宋体" w:eastAsia="宋体" w:cs="宋体"/>
          <w:sz w:val="24"/>
          <w:szCs w:val="24"/>
          <w:highlight w:val="none"/>
        </w:rPr>
        <w:t>接入系统网络内使用的设备须遵守终端安全管理、移动存储介质安全管理等要求。</w:t>
      </w:r>
    </w:p>
    <w:p w14:paraId="32489196">
      <w:pPr>
        <w:pageBreakBefore w:val="0"/>
        <w:widowControl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参选人若中选，须</w:t>
      </w:r>
      <w:r>
        <w:rPr>
          <w:rFonts w:hint="eastAsia" w:ascii="宋体" w:hAnsi="宋体" w:eastAsia="宋体" w:cs="宋体"/>
          <w:color w:val="auto"/>
          <w:sz w:val="24"/>
          <w:szCs w:val="24"/>
          <w:highlight w:val="none"/>
        </w:rPr>
        <w:t>记录资料由生成到销毁整个生命周期内的使用日志。</w:t>
      </w:r>
    </w:p>
    <w:p w14:paraId="7EFEB0B8">
      <w:pPr>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以上提供书面承诺并加盖比选参选人单位公章</w:t>
      </w:r>
    </w:p>
    <w:p w14:paraId="12827ED3">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比选参选人资格要求</w:t>
      </w:r>
    </w:p>
    <w:bookmarkEnd w:id="13"/>
    <w:bookmarkEnd w:id="14"/>
    <w:p w14:paraId="6F5EB18E">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bookmarkStart w:id="16" w:name="_Toc29119_WPSOffice_Level2"/>
      <w:bookmarkStart w:id="17" w:name="_Toc59789647"/>
      <w:r>
        <w:rPr>
          <w:rFonts w:hint="eastAsia" w:asciiTheme="minorEastAsia" w:hAnsiTheme="minorEastAsia" w:eastAsiaTheme="minorEastAsia" w:cstheme="minorEastAsia"/>
          <w:sz w:val="24"/>
          <w:highlight w:val="none"/>
        </w:rPr>
        <w:t>1）具有独立承担民事责任的能力（</w:t>
      </w:r>
      <w:r>
        <w:rPr>
          <w:rFonts w:hint="eastAsia" w:asciiTheme="minorEastAsia" w:hAnsiTheme="minorEastAsia" w:eastAsiaTheme="minorEastAsia" w:cstheme="minorEastAsia"/>
          <w:b/>
          <w:bCs/>
          <w:sz w:val="24"/>
          <w:highlight w:val="none"/>
        </w:rPr>
        <w:t>提供法人或者其他组织的营业执照，自然人的身份证明</w:t>
      </w:r>
      <w:r>
        <w:rPr>
          <w:rFonts w:hint="eastAsia" w:asciiTheme="minorEastAsia" w:hAnsiTheme="minorEastAsia" w:eastAsiaTheme="minorEastAsia" w:cstheme="minorEastAsia"/>
          <w:sz w:val="24"/>
          <w:highlight w:val="none"/>
        </w:rPr>
        <w:t>）。</w:t>
      </w:r>
    </w:p>
    <w:p w14:paraId="1420D7E6">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2）参加本次比选前三年内，在经营活动中没有重大违法记录（</w:t>
      </w:r>
      <w:r>
        <w:rPr>
          <w:rFonts w:hint="eastAsia" w:asciiTheme="minorEastAsia" w:hAnsiTheme="minorEastAsia" w:eastAsiaTheme="minorEastAsia" w:cstheme="minorEastAsia"/>
          <w:b/>
          <w:bCs/>
          <w:sz w:val="24"/>
          <w:highlight w:val="none"/>
        </w:rPr>
        <w:t>提供声明函加盖比选参选人公章</w:t>
      </w:r>
      <w:r>
        <w:rPr>
          <w:rFonts w:hint="eastAsia" w:asciiTheme="minorEastAsia" w:hAnsiTheme="minorEastAsia" w:eastAsiaTheme="minorEastAsia" w:cstheme="minorEastAsia"/>
          <w:sz w:val="24"/>
          <w:highlight w:val="none"/>
        </w:rPr>
        <w:t>）。</w:t>
      </w:r>
    </w:p>
    <w:p w14:paraId="1D78D966">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3）有依法缴纳税收和社会保障资金的良好记录（</w:t>
      </w:r>
      <w:r>
        <w:rPr>
          <w:rFonts w:hint="eastAsia" w:asciiTheme="minorEastAsia" w:hAnsiTheme="minorEastAsia" w:eastAsiaTheme="minorEastAsia" w:cstheme="minorEastAsia"/>
          <w:b/>
          <w:bCs/>
          <w:sz w:val="24"/>
          <w:highlight w:val="none"/>
        </w:rPr>
        <w:t>提供证明文件加盖比选参选人公章</w:t>
      </w:r>
      <w:r>
        <w:rPr>
          <w:rFonts w:hint="eastAsia" w:asciiTheme="minorEastAsia" w:hAnsiTheme="minorEastAsia" w:eastAsiaTheme="minorEastAsia" w:cstheme="minorEastAsia"/>
          <w:sz w:val="24"/>
          <w:highlight w:val="none"/>
        </w:rPr>
        <w:t>）。</w:t>
      </w:r>
    </w:p>
    <w:p w14:paraId="7DD85B92">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4）具有履行合同所必需的设备和专业技术能力（</w:t>
      </w:r>
      <w:r>
        <w:rPr>
          <w:rFonts w:hint="eastAsia" w:asciiTheme="minorEastAsia" w:hAnsiTheme="minorEastAsia" w:eastAsiaTheme="minorEastAsia" w:cstheme="minorEastAsia"/>
          <w:b/>
          <w:bCs/>
          <w:sz w:val="24"/>
          <w:highlight w:val="none"/>
        </w:rPr>
        <w:t>需提供承诺书加盖比选参选人公章</w:t>
      </w:r>
      <w:r>
        <w:rPr>
          <w:rFonts w:hint="eastAsia" w:asciiTheme="minorEastAsia" w:hAnsiTheme="minorEastAsia" w:eastAsiaTheme="minorEastAsia" w:cstheme="minorEastAsia"/>
          <w:sz w:val="24"/>
          <w:highlight w:val="none"/>
        </w:rPr>
        <w:t>）。</w:t>
      </w:r>
    </w:p>
    <w:p w14:paraId="72D6D376">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5）参选人股东非集团员工及配偶、员工子女及其配偶（</w:t>
      </w:r>
      <w:r>
        <w:rPr>
          <w:rFonts w:hint="eastAsia" w:asciiTheme="minorEastAsia" w:hAnsiTheme="minorEastAsia" w:eastAsiaTheme="minorEastAsia" w:cstheme="minorEastAsia"/>
          <w:b/>
          <w:bCs/>
          <w:sz w:val="24"/>
          <w:highlight w:val="none"/>
        </w:rPr>
        <w:t>需提供承诺书加盖比选参选人公章</w:t>
      </w:r>
      <w:r>
        <w:rPr>
          <w:rFonts w:hint="eastAsia" w:asciiTheme="minorEastAsia" w:hAnsiTheme="minorEastAsia" w:eastAsiaTheme="minorEastAsia" w:cstheme="minorEastAsia"/>
          <w:sz w:val="24"/>
          <w:highlight w:val="none"/>
        </w:rPr>
        <w:t>）。</w:t>
      </w:r>
    </w:p>
    <w:p w14:paraId="48F52F8F">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6）单位负责人为同一人或者存在直接控股、管理关系的不同比选方，不得参加同一合同项（分包）下的比选活动，否则均为无效（</w:t>
      </w:r>
      <w:r>
        <w:rPr>
          <w:rFonts w:hint="eastAsia" w:asciiTheme="minorEastAsia" w:hAnsiTheme="minorEastAsia" w:eastAsiaTheme="minorEastAsia" w:cstheme="minorEastAsia"/>
          <w:b/>
          <w:bCs/>
          <w:sz w:val="24"/>
          <w:highlight w:val="none"/>
        </w:rPr>
        <w:t>需提供承诺书加盖比选参选人公章</w:t>
      </w:r>
      <w:r>
        <w:rPr>
          <w:rFonts w:hint="eastAsia" w:asciiTheme="minorEastAsia" w:hAnsiTheme="minorEastAsia" w:eastAsiaTheme="minorEastAsia" w:cstheme="minorEastAsia"/>
          <w:sz w:val="24"/>
          <w:highlight w:val="none"/>
        </w:rPr>
        <w:t>）。</w:t>
      </w:r>
    </w:p>
    <w:p w14:paraId="54748CDA">
      <w:pPr>
        <w:pageBreakBefore w:val="0"/>
        <w:tabs>
          <w:tab w:val="left" w:pos="704"/>
        </w:tabs>
        <w:kinsoku/>
        <w:wordWrap/>
        <w:overflowPunct/>
        <w:topLinePunct w:val="0"/>
        <w:bidi w:val="0"/>
        <w:adjustRightInd w:val="0"/>
        <w:snapToGrid w:val="0"/>
        <w:spacing w:line="360" w:lineRule="auto"/>
        <w:ind w:left="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7）诚信声明（</w:t>
      </w:r>
      <w:r>
        <w:rPr>
          <w:rFonts w:hint="eastAsia" w:asciiTheme="minorEastAsia" w:hAnsiTheme="minorEastAsia" w:eastAsiaTheme="minorEastAsia" w:cstheme="minorEastAsia"/>
          <w:b/>
          <w:bCs/>
          <w:sz w:val="24"/>
          <w:highlight w:val="none"/>
        </w:rPr>
        <w:t>需提供承诺书加盖比选参选人公章</w:t>
      </w:r>
      <w:r>
        <w:rPr>
          <w:rFonts w:hint="eastAsia" w:asciiTheme="minorEastAsia" w:hAnsiTheme="minorEastAsia" w:eastAsiaTheme="minorEastAsia" w:cstheme="minorEastAsia"/>
          <w:sz w:val="24"/>
          <w:highlight w:val="none"/>
        </w:rPr>
        <w:t>）。</w:t>
      </w:r>
    </w:p>
    <w:p w14:paraId="162F2C98">
      <w:pPr>
        <w:widowControl w:val="0"/>
        <w:spacing w:line="360" w:lineRule="auto"/>
        <w:ind w:left="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）参选人须具有公安部第三研究所颁发的网络安全</w:t>
      </w:r>
      <w:r>
        <w:rPr>
          <w:rFonts w:hint="eastAsia" w:ascii="宋体" w:hAnsi="宋体" w:eastAsia="宋体" w:cs="宋体"/>
          <w:sz w:val="24"/>
          <w:szCs w:val="24"/>
          <w:highlight w:val="none"/>
          <w:lang w:eastAsia="zh-CN"/>
        </w:rPr>
        <w:t>服务认证证书等级保护测评服务认证</w:t>
      </w:r>
      <w:r>
        <w:rPr>
          <w:rFonts w:hint="eastAsia" w:ascii="宋体" w:hAnsi="宋体" w:eastAsia="宋体" w:cs="宋体"/>
          <w:sz w:val="24"/>
          <w:szCs w:val="24"/>
          <w:highlight w:val="none"/>
        </w:rPr>
        <w:t>（提供证书复印件并加盖</w:t>
      </w:r>
      <w:r>
        <w:rPr>
          <w:rFonts w:hint="eastAsia" w:ascii="宋体" w:hAnsi="宋体" w:eastAsia="宋体" w:cs="宋体"/>
          <w:b/>
          <w:sz w:val="24"/>
          <w:szCs w:val="24"/>
          <w:highlight w:val="none"/>
        </w:rPr>
        <w:t>比选参选人单位公章</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5B27728C">
      <w:pPr>
        <w:widowControl w:val="0"/>
        <w:spacing w:line="360" w:lineRule="auto"/>
        <w:ind w:left="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选人须具备中国合格评定国家认可委员会颁发的检验机构认可证书（CNAS），认可的检验能力范围为“信息系统安全等级保护”或“网络安全等级测评”。（提供检验机构认可证书(需包含检验能力范围页）复印件并加盖</w:t>
      </w:r>
      <w:r>
        <w:rPr>
          <w:rFonts w:hint="eastAsia" w:ascii="宋体" w:hAnsi="宋体" w:eastAsia="宋体" w:cs="宋体"/>
          <w:b/>
          <w:sz w:val="24"/>
          <w:szCs w:val="24"/>
          <w:highlight w:val="none"/>
        </w:rPr>
        <w:t>比选参选人单位公章</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p>
    <w:p w14:paraId="271FCBF3">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发布公告的媒介</w:t>
      </w:r>
    </w:p>
    <w:p w14:paraId="3BA52622">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本次比选公告在《阳光重庆》和第1眼app发布。</w:t>
      </w:r>
    </w:p>
    <w:p w14:paraId="36D64889">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比选文件的获取</w:t>
      </w:r>
    </w:p>
    <w:p w14:paraId="3CF7DDBE">
      <w:pPr>
        <w:pageBreakBefore w:val="0"/>
        <w:kinsoku/>
        <w:wordWrap/>
        <w:overflowPunct/>
        <w:topLinePunct w:val="0"/>
        <w:bidi w:val="0"/>
        <w:adjustRightInd w:val="0"/>
        <w:snapToGrid w:val="0"/>
        <w:spacing w:line="360" w:lineRule="auto"/>
        <w:ind w:left="120" w:leftChars="57" w:firstLine="360" w:firstLineChars="1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凡愿意参加的潜在比选参选人，从</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7</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14</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起至</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7</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16</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均可在《阳光重庆》下载比选文件等比选前的有关资料。</w:t>
      </w:r>
    </w:p>
    <w:p w14:paraId="2CB02747">
      <w:pPr>
        <w:pageBreakBefore w:val="0"/>
        <w:kinsoku/>
        <w:wordWrap/>
        <w:overflowPunct/>
        <w:topLinePunct w:val="0"/>
        <w:bidi w:val="0"/>
        <w:adjustRightInd w:val="0"/>
        <w:snapToGrid w:val="0"/>
        <w:spacing w:line="360" w:lineRule="auto"/>
        <w:ind w:left="120" w:leftChars="57" w:firstLine="360" w:firstLineChars="1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在公告期间，各比选参选人应随时关注网上发布的比选补充文件等内容，不管比选参选人是否下载，均视为已知晓比选文件的全部内容和有关事宜。</w:t>
      </w:r>
    </w:p>
    <w:p w14:paraId="17B07E9A">
      <w:pPr>
        <w:pageBreakBefore w:val="0"/>
        <w:kinsoku/>
        <w:wordWrap/>
        <w:overflowPunct/>
        <w:topLinePunct w:val="0"/>
        <w:bidi w:val="0"/>
        <w:adjustRightInd w:val="0"/>
        <w:snapToGrid w:val="0"/>
        <w:spacing w:line="360" w:lineRule="auto"/>
        <w:ind w:left="120" w:leftChars="57" w:firstLine="315" w:firstLineChars="1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"mailto:报名供应商在阳光重庆下载比选文件。同时需在文件递送截止时间前发送报名人信息的PDF扫描件（包括法人、其他组织证照或自然人身份证等）至cbgzgb@126.com，方被视为报名成功。"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sz w:val="24"/>
          <w:highlight w:val="none"/>
          <w:u w:val="single"/>
        </w:rPr>
        <w:t>报名供应商在阳光重庆下载比选文件。同时需在文件递送截止时间前发送报名人信息的PDF扫描件（包括法人、其他组织证照或自然人身份证等）至cbg</w:t>
      </w:r>
      <w:r>
        <w:rPr>
          <w:rFonts w:hint="eastAsia" w:asciiTheme="minorEastAsia" w:hAnsiTheme="minorEastAsia" w:eastAsiaTheme="minorEastAsia" w:cstheme="minorEastAsia"/>
          <w:sz w:val="24"/>
          <w:highlight w:val="none"/>
          <w:u w:val="single"/>
          <w:lang w:val="en-US" w:eastAsia="zh-CN"/>
        </w:rPr>
        <w:t>ghk</w:t>
      </w:r>
      <w:r>
        <w:rPr>
          <w:rFonts w:hint="eastAsia" w:asciiTheme="minorEastAsia" w:hAnsiTheme="minorEastAsia" w:eastAsiaTheme="minorEastAsia" w:cstheme="minorEastAsia"/>
          <w:sz w:val="24"/>
          <w:highlight w:val="none"/>
          <w:u w:val="single"/>
        </w:rPr>
        <w:t>@1</w:t>
      </w:r>
      <w:r>
        <w:rPr>
          <w:rFonts w:hint="eastAsia" w:asciiTheme="minorEastAsia" w:hAnsiTheme="minorEastAsia" w:eastAsiaTheme="minorEastAsia" w:cstheme="minorEastAsia"/>
          <w:sz w:val="24"/>
          <w:highlight w:val="none"/>
          <w:u w:val="single"/>
          <w:lang w:val="en-US" w:eastAsia="zh-CN"/>
        </w:rPr>
        <w:t>63</w:t>
      </w:r>
      <w:r>
        <w:rPr>
          <w:rFonts w:hint="eastAsia" w:asciiTheme="minorEastAsia" w:hAnsiTheme="minorEastAsia" w:eastAsiaTheme="minorEastAsia" w:cstheme="minorEastAsia"/>
          <w:sz w:val="24"/>
          <w:highlight w:val="none"/>
          <w:u w:val="single"/>
        </w:rPr>
        <w:t>.com，方被视为报名成功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fldChar w:fldCharType="end"/>
      </w:r>
    </w:p>
    <w:p w14:paraId="00FF1E15">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比选参选文件的递交</w:t>
      </w:r>
      <w:bookmarkEnd w:id="16"/>
      <w:bookmarkEnd w:id="17"/>
    </w:p>
    <w:p w14:paraId="7E1DBEEA">
      <w:pPr>
        <w:pageBreakBefore w:val="0"/>
        <w:numPr>
          <w:ilvl w:val="3"/>
          <w:numId w:val="7"/>
        </w:numP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比选时间：</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7</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24</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u w:val="single"/>
          <w:lang w:val="en-US" w:eastAsia="zh-CN"/>
        </w:rPr>
        <w:t>14</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u w:val="single"/>
          <w:lang w:val="en-US" w:eastAsia="zh-CN"/>
        </w:rPr>
        <w:t>3</w:t>
      </w:r>
      <w:r>
        <w:rPr>
          <w:rFonts w:hint="eastAsia" w:asciiTheme="minorEastAsia" w:hAnsiTheme="minorEastAsia" w:eastAsiaTheme="minorEastAsia" w:cstheme="minorEastAsia"/>
          <w:sz w:val="24"/>
          <w:highlight w:val="none"/>
          <w:u w:val="single"/>
        </w:rPr>
        <w:t>0</w:t>
      </w:r>
      <w:r>
        <w:rPr>
          <w:rFonts w:hint="eastAsia" w:asciiTheme="minorEastAsia" w:hAnsiTheme="minorEastAsia" w:eastAsiaTheme="minorEastAsia" w:cstheme="minorEastAsia"/>
          <w:sz w:val="24"/>
          <w:highlight w:val="none"/>
        </w:rPr>
        <w:t>（北京时间）。</w:t>
      </w:r>
    </w:p>
    <w:p w14:paraId="14701DC9">
      <w:pPr>
        <w:pageBreakBefore w:val="0"/>
        <w:numPr>
          <w:ilvl w:val="3"/>
          <w:numId w:val="7"/>
        </w:numP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比选参选人必须在比选时间前将比选参选文件送达指定地点</w:t>
      </w:r>
      <w:r>
        <w:rPr>
          <w:rFonts w:hint="eastAsia" w:asciiTheme="minorEastAsia" w:hAnsiTheme="minorEastAsia" w:eastAsiaTheme="minorEastAsia" w:cstheme="minorEastAsia"/>
          <w:b/>
          <w:bCs/>
          <w:sz w:val="24"/>
          <w:highlight w:val="none"/>
        </w:rPr>
        <w:t>（重庆市渝北区龙山大道333号广电大厦 /收件人：胡淳刚13883230717）</w:t>
      </w:r>
      <w:r>
        <w:rPr>
          <w:rFonts w:hint="eastAsia" w:asciiTheme="minorEastAsia" w:hAnsiTheme="minorEastAsia" w:eastAsiaTheme="minorEastAsia" w:cstheme="minorEastAsia"/>
          <w:sz w:val="24"/>
          <w:highlight w:val="none"/>
        </w:rPr>
        <w:t>。</w:t>
      </w:r>
    </w:p>
    <w:p w14:paraId="77A97C5D">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逾期送达，或未送达指定地点，或未密封的参选文件，业主方不予受理。</w:t>
      </w:r>
    </w:p>
    <w:p w14:paraId="63481909">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联系方式：</w:t>
      </w:r>
      <w:bookmarkEnd w:id="15"/>
    </w:p>
    <w:p w14:paraId="477B0B68">
      <w:pPr>
        <w:pageBreakBefore w:val="0"/>
        <w:kinsoku/>
        <w:wordWrap/>
        <w:overflowPunct/>
        <w:topLinePunct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联系人（比选技术）：</w:t>
      </w:r>
      <w:r>
        <w:rPr>
          <w:rFonts w:hint="eastAsia" w:asciiTheme="minorEastAsia" w:hAnsiTheme="minorEastAsia" w:eastAsiaTheme="minorEastAsia" w:cstheme="minorEastAsia"/>
          <w:sz w:val="24"/>
          <w:highlight w:val="none"/>
          <w:lang w:val="en-US" w:eastAsia="zh-CN"/>
        </w:rPr>
        <w:t>刘</w:t>
      </w:r>
      <w:r>
        <w:rPr>
          <w:rFonts w:hint="eastAsia" w:asciiTheme="minorEastAsia" w:hAnsiTheme="minorEastAsia" w:eastAsiaTheme="minorEastAsia" w:cstheme="minorEastAsia"/>
          <w:sz w:val="24"/>
          <w:highlight w:val="none"/>
        </w:rPr>
        <w:t xml:space="preserve">老师   </w:t>
      </w:r>
      <w:r>
        <w:rPr>
          <w:rFonts w:hint="eastAsia" w:asciiTheme="minorEastAsia" w:hAnsiTheme="minorEastAsia" w:eastAsiaTheme="minorEastAsia" w:cstheme="minorEastAsia"/>
          <w:sz w:val="24"/>
          <w:highlight w:val="none"/>
          <w:lang w:val="en-US" w:eastAsia="zh-CN"/>
        </w:rPr>
        <w:t>023-67544688</w:t>
      </w:r>
    </w:p>
    <w:p w14:paraId="1C6779C3">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联系人（比选商务）：胡老师   023-67544688</w:t>
      </w:r>
    </w:p>
    <w:p w14:paraId="10B3FC91">
      <w:pPr>
        <w:pageBreakBefore w:val="0"/>
        <w:numPr>
          <w:ilvl w:val="0"/>
          <w:numId w:val="1"/>
        </w:numPr>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提出质疑异议的联系方式：023-67544075</w:t>
      </w:r>
    </w:p>
    <w:p w14:paraId="02AD912B">
      <w:pPr>
        <w:pageBreakBefore w:val="0"/>
        <w:numPr>
          <w:ilvl w:val="0"/>
          <w:numId w:val="0"/>
        </w:numPr>
        <w:kinsoku/>
        <w:wordWrap/>
        <w:overflowPunct/>
        <w:topLinePunct w:val="0"/>
        <w:bidi w:val="0"/>
        <w:adjustRightInd w:val="0"/>
        <w:snapToGrid w:val="0"/>
        <w:spacing w:line="360" w:lineRule="auto"/>
        <w:ind w:left="284" w:leftChars="0"/>
        <w:textAlignment w:val="auto"/>
        <w:outlineLvl w:val="1"/>
        <w:rPr>
          <w:rFonts w:hint="eastAsia" w:asciiTheme="minorEastAsia" w:hAnsiTheme="minorEastAsia" w:eastAsiaTheme="minorEastAsia" w:cstheme="minorEastAsia"/>
          <w:sz w:val="30"/>
          <w:highlight w:val="none"/>
        </w:rPr>
      </w:pPr>
    </w:p>
    <w:p w14:paraId="7115EAB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44"/>
          <w:sz w:val="36"/>
          <w:highlight w:val="none"/>
        </w:rPr>
      </w:pPr>
      <w:bookmarkStart w:id="18" w:name="_Toc361"/>
      <w:bookmarkStart w:id="19" w:name="_Toc108791958"/>
      <w:bookmarkStart w:id="20" w:name="_Toc757"/>
      <w:bookmarkStart w:id="21" w:name="_Toc2136057026"/>
      <w:bookmarkStart w:id="22" w:name="_Toc12155"/>
      <w:bookmarkStart w:id="23" w:name="_Toc27333"/>
      <w:r>
        <w:rPr>
          <w:rFonts w:hint="eastAsia" w:asciiTheme="minorEastAsia" w:hAnsiTheme="minorEastAsia" w:eastAsiaTheme="minorEastAsia" w:cstheme="minorEastAsia"/>
          <w:kern w:val="44"/>
          <w:sz w:val="36"/>
          <w:highlight w:val="none"/>
        </w:rPr>
        <w:br w:type="page"/>
      </w:r>
    </w:p>
    <w:p w14:paraId="435AC925">
      <w:pPr>
        <w:pageBreakBefore w:val="0"/>
        <w:kinsoku/>
        <w:wordWrap/>
        <w:overflowPunct/>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kern w:val="44"/>
          <w:sz w:val="36"/>
          <w:highlight w:val="none"/>
        </w:rPr>
      </w:pPr>
      <w:bookmarkStart w:id="24" w:name="_Toc25326"/>
      <w:r>
        <w:rPr>
          <w:rFonts w:hint="eastAsia" w:asciiTheme="minorEastAsia" w:hAnsiTheme="minorEastAsia" w:eastAsiaTheme="minorEastAsia" w:cstheme="minorEastAsia"/>
          <w:kern w:val="44"/>
          <w:sz w:val="36"/>
          <w:highlight w:val="none"/>
        </w:rPr>
        <w:t>项目技术需求</w:t>
      </w:r>
      <w:bookmarkEnd w:id="18"/>
      <w:bookmarkEnd w:id="19"/>
      <w:bookmarkEnd w:id="20"/>
      <w:bookmarkEnd w:id="21"/>
      <w:bookmarkEnd w:id="22"/>
      <w:bookmarkEnd w:id="23"/>
      <w:bookmarkEnd w:id="24"/>
    </w:p>
    <w:p w14:paraId="085086E1">
      <w:pPr>
        <w:pageBreakBefore w:val="0"/>
        <w:tabs>
          <w:tab w:val="left" w:pos="900"/>
          <w:tab w:val="left" w:pos="1134"/>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0"/>
          <w:sz w:val="30"/>
          <w:szCs w:val="30"/>
          <w:highlight w:val="none"/>
        </w:rPr>
      </w:pPr>
    </w:p>
    <w:p w14:paraId="60CA43AA">
      <w:pPr>
        <w:pageBreakBefore w:val="0"/>
        <w:kinsoku/>
        <w:wordWrap/>
        <w:overflowPunct/>
        <w:topLinePunct w:val="0"/>
        <w:bidi w:val="0"/>
        <w:adjustRightInd w:val="0"/>
        <w:snapToGrid w:val="0"/>
        <w:spacing w:line="360" w:lineRule="auto"/>
        <w:ind w:left="1800" w:hanging="1800"/>
        <w:textAlignment w:val="auto"/>
        <w:outlineLvl w:val="1"/>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30"/>
          <w:highlight w:val="none"/>
        </w:rPr>
        <w:t>一、竞争性比选内容</w:t>
      </w:r>
    </w:p>
    <w:p w14:paraId="1A3E81E0">
      <w:pPr>
        <w:widowControl w:val="0"/>
        <w:spacing w:line="360" w:lineRule="auto"/>
        <w:ind w:left="420" w:firstLine="420"/>
        <w:rPr>
          <w:rFonts w:ascii="宋体" w:hAnsi="宋体" w:eastAsia="宋体" w:cs="宋体"/>
          <w:sz w:val="21"/>
          <w:szCs w:val="21"/>
          <w:highlight w:val="none"/>
        </w:rPr>
      </w:pPr>
      <w:r>
        <w:rPr>
          <w:rFonts w:hint="eastAsia" w:ascii="宋体" w:hAnsi="宋体" w:eastAsia="宋体" w:cs="宋体"/>
          <w:sz w:val="24"/>
          <w:szCs w:val="24"/>
          <w:highlight w:val="none"/>
        </w:rPr>
        <w:t>重庆广播电视集团（总台）</w:t>
      </w:r>
      <w:r>
        <w:rPr>
          <w:rFonts w:hint="eastAsia" w:ascii="宋体" w:hAnsi="宋体" w:eastAsia="宋体" w:cs="宋体"/>
          <w:color w:val="000000"/>
          <w:sz w:val="24"/>
          <w:szCs w:val="24"/>
          <w:highlight w:val="none"/>
        </w:rPr>
        <w:t>网络安全等级保护测评服务</w:t>
      </w:r>
      <w:r>
        <w:rPr>
          <w:rFonts w:hint="eastAsia" w:ascii="宋体" w:hAnsi="宋体" w:eastAsia="宋体" w:cs="宋体"/>
          <w:sz w:val="24"/>
          <w:szCs w:val="24"/>
          <w:highlight w:val="none"/>
        </w:rPr>
        <w:t>，针对重庆广播电视集团（总台）融合新闻系统（三级）、全频道高清播总控系统（三级）、广播制播系统（三级）各开展一次测评工作。</w:t>
      </w:r>
    </w:p>
    <w:p w14:paraId="29707B8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4EB7B31">
      <w:pPr>
        <w:pageBreakBefore w:val="0"/>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二、竞争性比选要求</w:t>
      </w:r>
    </w:p>
    <w:p w14:paraId="65789FA6">
      <w:pPr>
        <w:widowControl w:val="0"/>
        <w:numPr>
          <w:ilvl w:val="0"/>
          <w:numId w:val="8"/>
        </w:numPr>
        <w:snapToGrid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比选参选人应在充分理解竞争性比选文件需求的前提下提供服务。</w:t>
      </w:r>
    </w:p>
    <w:p w14:paraId="2FD92233">
      <w:pPr>
        <w:widowControl w:val="0"/>
        <w:numPr>
          <w:ilvl w:val="0"/>
          <w:numId w:val="8"/>
        </w:numPr>
        <w:snapToGrid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比选参选人所提供各项服务的功能应满足或优于竞争性比选的功能要求。</w:t>
      </w:r>
    </w:p>
    <w:p w14:paraId="2F943F75">
      <w:pPr>
        <w:widowControl w:val="0"/>
        <w:numPr>
          <w:ilvl w:val="0"/>
          <w:numId w:val="8"/>
        </w:numPr>
        <w:snapToGrid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比选参选人需按照竞争性比选文件《技术</w:t>
      </w:r>
      <w:r>
        <w:rPr>
          <w:rFonts w:hint="eastAsia" w:ascii="宋体" w:hAnsi="宋体" w:eastAsia="宋体" w:cs="宋体"/>
          <w:kern w:val="0"/>
          <w:sz w:val="24"/>
          <w:szCs w:val="24"/>
          <w:highlight w:val="none"/>
          <w:lang w:val="en-US" w:eastAsia="zh-CN"/>
        </w:rPr>
        <w:t>服务清单</w:t>
      </w:r>
      <w:r>
        <w:rPr>
          <w:rFonts w:hint="eastAsia" w:ascii="宋体" w:hAnsi="宋体" w:eastAsia="宋体" w:cs="宋体"/>
          <w:kern w:val="0"/>
          <w:sz w:val="24"/>
          <w:szCs w:val="24"/>
          <w:highlight w:val="none"/>
        </w:rPr>
        <w:t>》列出详细的比选参选清单（可参见本文件应答清单样式）。如提供的功能有遗漏由中选人免费提供。</w:t>
      </w:r>
    </w:p>
    <w:p w14:paraId="3831F782">
      <w:pPr>
        <w:widowControl w:val="0"/>
        <w:numPr>
          <w:ilvl w:val="0"/>
          <w:numId w:val="8"/>
        </w:numPr>
        <w:snapToGrid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在合同签订后，如果在实施过程中因实际情况需对合同进行调整，中选人应积极配合调整，并保证单价及优惠条件不变。</w:t>
      </w:r>
    </w:p>
    <w:p w14:paraId="21DCF68D">
      <w:pPr>
        <w:widowControl w:val="0"/>
        <w:numPr>
          <w:ilvl w:val="0"/>
          <w:numId w:val="8"/>
        </w:numPr>
        <w:snapToGrid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比选参选人在比选参选文件中应对竞争性比选文件中的要求一一做出应答，不得以诸如“理解”、“注意到”等词回答，否则视该条回答为不接受。</w:t>
      </w:r>
    </w:p>
    <w:p w14:paraId="1F2D38F3">
      <w:pPr>
        <w:pStyle w:val="15"/>
        <w:widowControl/>
        <w:spacing w:line="360" w:lineRule="auto"/>
        <w:ind w:firstLine="480" w:firstLineChars="200"/>
        <w:rPr>
          <w:rFonts w:hint="eastAsia" w:ascii="宋体" w:hAnsi="宋体" w:eastAsia="宋体" w:cs="宋体"/>
          <w:sz w:val="24"/>
          <w:szCs w:val="24"/>
          <w:highlight w:val="none"/>
        </w:rPr>
      </w:pPr>
      <w:r>
        <w:rPr>
          <w:rFonts w:hint="eastAsia" w:asciiTheme="minorEastAsia" w:hAnsiTheme="minorEastAsia" w:eastAsiaTheme="minorEastAsia" w:cstheme="minorEastAsia"/>
          <w:sz w:val="24"/>
          <w:highlight w:val="none"/>
        </w:rPr>
        <w:br w:type="page"/>
      </w:r>
    </w:p>
    <w:p w14:paraId="28564410">
      <w:pPr>
        <w:pStyle w:val="15"/>
        <w:pageBreakBefore w:val="0"/>
        <w:kinsoku/>
        <w:wordWrap/>
        <w:overflowPunct/>
        <w:topLinePunct w:val="0"/>
        <w:bidi w:val="0"/>
        <w:adjustRightInd w:val="0"/>
        <w:snapToGrid w:val="0"/>
        <w:spacing w:line="360" w:lineRule="auto"/>
        <w:ind w:firstLine="0" w:firstLineChars="0"/>
        <w:textAlignment w:val="auto"/>
        <w:outlineLvl w:val="1"/>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30"/>
          <w:szCs w:val="30"/>
          <w:highlight w:val="none"/>
          <w:lang w:val="en-US" w:eastAsia="zh-CN"/>
        </w:rPr>
        <w:t>三</w:t>
      </w:r>
      <w:r>
        <w:rPr>
          <w:rFonts w:hint="eastAsia" w:asciiTheme="minorEastAsia" w:hAnsiTheme="minorEastAsia" w:eastAsiaTheme="minorEastAsia" w:cstheme="minorEastAsia"/>
          <w:sz w:val="30"/>
          <w:szCs w:val="30"/>
          <w:highlight w:val="none"/>
        </w:rPr>
        <w:t>、</w:t>
      </w:r>
      <w:r>
        <w:rPr>
          <w:rFonts w:hint="eastAsia" w:asciiTheme="minorEastAsia" w:hAnsiTheme="minorEastAsia" w:eastAsiaTheme="minorEastAsia" w:cstheme="minorEastAsia"/>
          <w:sz w:val="30"/>
          <w:szCs w:val="30"/>
          <w:highlight w:val="none"/>
          <w:lang w:val="en-US" w:eastAsia="zh-CN"/>
        </w:rPr>
        <w:t>技术服务清单</w:t>
      </w:r>
    </w:p>
    <w:p w14:paraId="645F2EF7">
      <w:pPr>
        <w:pageBreakBefore w:val="0"/>
        <w:numPr>
          <w:ilvl w:val="1"/>
          <w:numId w:val="9"/>
        </w:numPr>
        <w:tabs>
          <w:tab w:val="left" w:pos="1043"/>
        </w:tabs>
        <w:kinsoku/>
        <w:wordWrap/>
        <w:overflowPunct/>
        <w:topLinePunct w:val="0"/>
        <w:bidi w:val="0"/>
        <w:adjustRightInd w:val="0"/>
        <w:snapToGrid w:val="0"/>
        <w:spacing w:line="360" w:lineRule="auto"/>
        <w:ind w:left="20" w:firstLine="400"/>
        <w:textAlignment w:val="auto"/>
        <w:rPr>
          <w:rFonts w:hint="eastAsia" w:asciiTheme="minorEastAsia" w:hAnsiTheme="minorEastAsia" w:eastAsiaTheme="minorEastAsia" w:cstheme="minorEastAsia"/>
          <w:b/>
          <w:bCs/>
          <w:sz w:val="24"/>
          <w:highlight w:val="none"/>
        </w:rPr>
      </w:pPr>
      <w:bookmarkStart w:id="25" w:name="_Toc448842910"/>
      <w:bookmarkStart w:id="26" w:name="_Toc433639488"/>
      <w:r>
        <w:rPr>
          <w:rFonts w:hint="eastAsia" w:asciiTheme="minorEastAsia" w:hAnsiTheme="minorEastAsia" w:eastAsiaTheme="minorEastAsia" w:cstheme="minorEastAsia"/>
          <w:b/>
          <w:bCs/>
          <w:sz w:val="24"/>
          <w:highlight w:val="none"/>
        </w:rPr>
        <w:t>本项目为一个完整项目，比选参选人不得只投其中一部分。</w:t>
      </w:r>
      <w:bookmarkEnd w:id="25"/>
      <w:bookmarkEnd w:id="26"/>
    </w:p>
    <w:p w14:paraId="712DE160">
      <w:pPr>
        <w:pageBreakBefore w:val="0"/>
        <w:numPr>
          <w:ilvl w:val="1"/>
          <w:numId w:val="9"/>
        </w:numPr>
        <w:tabs>
          <w:tab w:val="left" w:pos="1043"/>
        </w:tabs>
        <w:kinsoku/>
        <w:wordWrap/>
        <w:overflowPunct/>
        <w:topLinePunct w:val="0"/>
        <w:bidi w:val="0"/>
        <w:adjustRightInd w:val="0"/>
        <w:snapToGrid w:val="0"/>
        <w:spacing w:line="360" w:lineRule="auto"/>
        <w:ind w:left="20" w:firstLine="400"/>
        <w:textAlignment w:val="auto"/>
        <w:rPr>
          <w:rFonts w:hint="eastAsia" w:asciiTheme="minorEastAsia" w:hAnsiTheme="minorEastAsia" w:eastAsiaTheme="minorEastAsia" w:cstheme="minorEastAsia"/>
          <w:b/>
          <w:bCs/>
          <w:sz w:val="28"/>
          <w:szCs w:val="28"/>
          <w:highlight w:val="none"/>
        </w:rPr>
      </w:pPr>
      <w:bookmarkStart w:id="27" w:name="_Toc448842911"/>
      <w:bookmarkStart w:id="28" w:name="_Toc433639489"/>
      <w:r>
        <w:rPr>
          <w:rFonts w:hint="eastAsia" w:asciiTheme="minorEastAsia" w:hAnsiTheme="minorEastAsia" w:eastAsiaTheme="minorEastAsia" w:cstheme="minorEastAsia"/>
          <w:b/>
          <w:bCs/>
          <w:sz w:val="24"/>
          <w:highlight w:val="none"/>
        </w:rPr>
        <w:t>比选参选人必须具备独立提供服务的能力，中选后不允许分包、转包。</w:t>
      </w:r>
      <w:bookmarkEnd w:id="27"/>
      <w:bookmarkEnd w:id="28"/>
    </w:p>
    <w:tbl>
      <w:tblPr>
        <w:tblStyle w:val="16"/>
        <w:tblW w:w="0" w:type="auto"/>
        <w:tblInd w:w="0" w:type="dxa"/>
        <w:tblLayout w:type="autofit"/>
        <w:tblCellMar>
          <w:top w:w="0" w:type="dxa"/>
          <w:left w:w="10" w:type="dxa"/>
          <w:bottom w:w="0" w:type="dxa"/>
          <w:right w:w="10" w:type="dxa"/>
        </w:tblCellMar>
      </w:tblPr>
      <w:tblGrid>
        <w:gridCol w:w="1107"/>
        <w:gridCol w:w="1129"/>
        <w:gridCol w:w="1206"/>
        <w:gridCol w:w="5086"/>
      </w:tblGrid>
      <w:tr w14:paraId="225BB6DE">
        <w:tblPrEx>
          <w:tblCellMar>
            <w:top w:w="0" w:type="dxa"/>
            <w:left w:w="10" w:type="dxa"/>
            <w:bottom w:w="0" w:type="dxa"/>
            <w:right w:w="10" w:type="dxa"/>
          </w:tblCellMar>
        </w:tblPrEx>
        <w:tc>
          <w:tcPr>
            <w:tcW w:w="1077"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29009DAD">
            <w:pPr>
              <w:widowControl w:val="0"/>
              <w:spacing w:line="360" w:lineRule="auto"/>
              <w:jc w:val="center"/>
              <w:rPr>
                <w:rFonts w:hint="eastAsia" w:asciiTheme="minorEastAsia" w:hAnsiTheme="minorEastAsia" w:eastAsiaTheme="minorEastAsia" w:cstheme="minorEastAsia"/>
                <w:sz w:val="21"/>
                <w:szCs w:val="21"/>
                <w:highlight w:val="none"/>
              </w:rPr>
            </w:pPr>
            <w:bookmarkStart w:id="29" w:name="_Toc105574658"/>
            <w:r>
              <w:rPr>
                <w:rFonts w:hint="eastAsia" w:asciiTheme="minorEastAsia" w:hAnsiTheme="minorEastAsia" w:eastAsiaTheme="minorEastAsia" w:cstheme="minorEastAsia"/>
                <w:sz w:val="21"/>
                <w:szCs w:val="21"/>
                <w:highlight w:val="none"/>
              </w:rPr>
              <w:t>序号</w:t>
            </w:r>
          </w:p>
        </w:tc>
        <w:tc>
          <w:tcPr>
            <w:tcW w:w="1108"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4CB7156D">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tc>
        <w:tc>
          <w:tcPr>
            <w:tcW w:w="6343" w:type="dxa"/>
            <w:gridSpan w:val="2"/>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4FE5E21C">
            <w:pPr>
              <w:widowControl w:val="0"/>
              <w:spacing w:line="360" w:lineRule="auto"/>
              <w:ind w:left="420" w:hanging="4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内容描述</w:t>
            </w:r>
          </w:p>
        </w:tc>
      </w:tr>
      <w:tr w14:paraId="1C8D2C7B">
        <w:tblPrEx>
          <w:tblCellMar>
            <w:top w:w="0" w:type="dxa"/>
            <w:left w:w="10" w:type="dxa"/>
            <w:bottom w:w="0" w:type="dxa"/>
            <w:right w:w="10" w:type="dxa"/>
          </w:tblCellMar>
        </w:tblPrEx>
        <w:tc>
          <w:tcPr>
            <w:tcW w:w="0" w:type="auto"/>
            <w:gridSpan w:val="4"/>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6FE69294">
            <w:pPr>
              <w:pStyle w:val="11"/>
              <w:numPr>
                <w:ilvl w:val="0"/>
                <w:numId w:val="10"/>
              </w:numPr>
              <w:spacing w:before="131" w:line="234" w:lineRule="auto"/>
              <w:ind w:left="420" w:leftChars="0" w:hanging="42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2"/>
                <w:sz w:val="21"/>
                <w:szCs w:val="24"/>
                <w:highlight w:val="none"/>
                <w:lang w:val="en-US" w:eastAsia="zh-CN" w:bidi="ar-SA"/>
              </w:rPr>
              <w:t>项目依据</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2"/>
                <w:sz w:val="21"/>
                <w:szCs w:val="24"/>
                <w:highlight w:val="none"/>
                <w:lang w:val="en-US" w:eastAsia="zh-CN" w:bidi="ar-SA"/>
              </w:rPr>
              <w:t>GB/T22239-2019 信息安全技术网络安全等级保护基本要求</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2"/>
                <w:sz w:val="21"/>
                <w:szCs w:val="24"/>
                <w:highlight w:val="none"/>
                <w:lang w:val="en-US" w:eastAsia="zh-CN" w:bidi="ar-SA"/>
              </w:rPr>
              <w:t>，《GB/T22240-2020 信息安全技术网络安全等级保护定级指南》，《GB/T25058-2019 信息安全技术网络安全等级保护实施指南》，《GB/T28448-2019 信息安全技术网络安全等级保护测评要求》，《GB/T25070-2019 信息安全技术网络安全等级保护安全设计技术要求》，《中华人民共和国网络安全法》，《中华人民共和国数据安全法》，《中华人民共和国个人信息保护法》</w:t>
            </w:r>
            <w:r>
              <w:rPr>
                <w:rFonts w:hint="eastAsia" w:asciiTheme="minorEastAsia" w:hAnsiTheme="minorEastAsia" w:eastAsiaTheme="minorEastAsia" w:cstheme="minorEastAsia"/>
                <w:highlight w:val="none"/>
              </w:rPr>
              <w:t>等法规要求进行信息系统安全等级测评</w:t>
            </w:r>
            <w:r>
              <w:rPr>
                <w:rFonts w:hint="eastAsia" w:asciiTheme="minorEastAsia" w:hAnsiTheme="minorEastAsia" w:eastAsiaTheme="minorEastAsia" w:cstheme="minorEastAsia"/>
                <w:highlight w:val="none"/>
                <w:lang w:eastAsia="zh-CN"/>
              </w:rPr>
              <w:t>。</w:t>
            </w:r>
          </w:p>
          <w:p w14:paraId="4B61F506">
            <w:pPr>
              <w:pStyle w:val="15"/>
              <w:widowControl/>
              <w:numPr>
                <w:ilvl w:val="0"/>
                <w:numId w:val="11"/>
              </w:numPr>
              <w:ind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本次需要测评的系统包括被测系统运行密不可分的物理环境、网络区域环境、安全计算环境、安全管理中心及安全管理制度等。</w:t>
            </w:r>
          </w:p>
        </w:tc>
      </w:tr>
      <w:tr w14:paraId="359FD87A">
        <w:tblPrEx>
          <w:tblCellMar>
            <w:top w:w="0" w:type="dxa"/>
            <w:left w:w="10" w:type="dxa"/>
            <w:bottom w:w="0" w:type="dxa"/>
            <w:right w:w="10" w:type="dxa"/>
          </w:tblCellMar>
        </w:tblPrEx>
        <w:tc>
          <w:tcPr>
            <w:tcW w:w="1077"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26C203B1">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108"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5B27D879">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安全扫描与测试</w:t>
            </w:r>
          </w:p>
        </w:tc>
        <w:tc>
          <w:tcPr>
            <w:tcW w:w="6343" w:type="dxa"/>
            <w:gridSpan w:val="2"/>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2FC3833E">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在与</w:t>
            </w:r>
            <w:r>
              <w:rPr>
                <w:rFonts w:hint="eastAsia" w:asciiTheme="minorEastAsia" w:hAnsiTheme="minorEastAsia" w:eastAsiaTheme="minorEastAsia" w:cstheme="minorEastAsia"/>
                <w:sz w:val="21"/>
                <w:szCs w:val="21"/>
                <w:highlight w:val="none"/>
                <w:lang w:val="en-US" w:eastAsia="zh-CN"/>
              </w:rPr>
              <w:t>业主方充分</w:t>
            </w:r>
            <w:r>
              <w:rPr>
                <w:rFonts w:hint="eastAsia" w:asciiTheme="minorEastAsia" w:hAnsiTheme="minorEastAsia" w:eastAsiaTheme="minorEastAsia" w:cstheme="minorEastAsia"/>
                <w:sz w:val="21"/>
                <w:szCs w:val="21"/>
                <w:highlight w:val="none"/>
              </w:rPr>
              <w:t>沟通的基础上</w:t>
            </w:r>
            <w:r>
              <w:rPr>
                <w:rFonts w:hint="eastAsia" w:asciiTheme="minorEastAsia" w:hAnsiTheme="minorEastAsia" w:eastAsiaTheme="minorEastAsia" w:cstheme="minorEastAsia"/>
                <w:sz w:val="21"/>
                <w:szCs w:val="21"/>
                <w:highlight w:val="none"/>
              </w:rPr>
              <w:t>，使</w:t>
            </w:r>
            <w:bookmarkStart w:id="30" w:name="OLE_LINK1"/>
            <w:r>
              <w:rPr>
                <w:rFonts w:hint="eastAsia" w:asciiTheme="minorEastAsia" w:hAnsiTheme="minorEastAsia" w:eastAsiaTheme="minorEastAsia" w:cstheme="minorEastAsia"/>
                <w:sz w:val="21"/>
                <w:szCs w:val="21"/>
                <w:highlight w:val="none"/>
              </w:rPr>
              <w:t>用专业的</w:t>
            </w:r>
            <w:bookmarkEnd w:id="30"/>
            <w:r>
              <w:rPr>
                <w:rFonts w:hint="eastAsia" w:asciiTheme="minorEastAsia" w:hAnsiTheme="minorEastAsia" w:eastAsiaTheme="minorEastAsia" w:cstheme="minorEastAsia"/>
                <w:sz w:val="21"/>
                <w:szCs w:val="21"/>
                <w:highlight w:val="none"/>
              </w:rPr>
              <w:t>安全分析工具（至少包含专业的主机网络安全分析、应用系统安全析工具）</w:t>
            </w:r>
            <w:r>
              <w:rPr>
                <w:rFonts w:hint="eastAsia" w:asciiTheme="minorEastAsia" w:hAnsiTheme="minorEastAsia" w:eastAsiaTheme="minorEastAsia" w:cstheme="minorEastAsia"/>
                <w:sz w:val="21"/>
                <w:szCs w:val="21"/>
                <w:highlight w:val="none"/>
                <w:lang w:eastAsia="zh-CN"/>
              </w:rPr>
              <w:t>对被测系统的应用、中间件、主机、数据库、网络设备等关键资产开展扫描和渗透工作，</w:t>
            </w:r>
            <w:r>
              <w:rPr>
                <w:rFonts w:hint="eastAsia" w:asciiTheme="minorEastAsia" w:hAnsiTheme="minorEastAsia" w:eastAsiaTheme="minorEastAsia" w:cstheme="minorEastAsia"/>
                <w:sz w:val="21"/>
                <w:szCs w:val="21"/>
                <w:highlight w:val="none"/>
              </w:rPr>
              <w:t>对过程进行记录并最终形成工具扫描、渗透报告。</w:t>
            </w:r>
          </w:p>
        </w:tc>
      </w:tr>
      <w:tr w14:paraId="7A82A247">
        <w:tblPrEx>
          <w:tblCellMar>
            <w:top w:w="0" w:type="dxa"/>
            <w:left w:w="10" w:type="dxa"/>
            <w:bottom w:w="0" w:type="dxa"/>
            <w:right w:w="10" w:type="dxa"/>
          </w:tblCellMar>
        </w:tblPrEx>
        <w:tc>
          <w:tcPr>
            <w:tcW w:w="1077" w:type="dxa"/>
            <w:vMerge w:val="restart"/>
            <w:tcBorders>
              <w:top w:val="single" w:color="000000" w:sz="4" w:space="0"/>
              <w:left w:val="single" w:color="auto" w:sz="4" w:space="0"/>
              <w:right w:val="single" w:color="000000" w:sz="4" w:space="0"/>
            </w:tcBorders>
            <w:shd w:val="clear" w:color="auto" w:fill="FFFFFF"/>
            <w:tcMar>
              <w:left w:w="108" w:type="dxa"/>
              <w:right w:w="108" w:type="dxa"/>
            </w:tcMar>
            <w:vAlign w:val="center"/>
          </w:tcPr>
          <w:p w14:paraId="3A7EAECB">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108" w:type="dxa"/>
            <w:vMerge w:val="restart"/>
            <w:tcBorders>
              <w:top w:val="single" w:color="000000" w:sz="4" w:space="0"/>
              <w:left w:val="nil"/>
              <w:right w:val="single" w:color="000000" w:sz="4" w:space="0"/>
            </w:tcBorders>
            <w:shd w:val="clear" w:color="auto" w:fill="FFFFFF"/>
            <w:tcMar>
              <w:left w:w="108" w:type="dxa"/>
              <w:right w:w="108" w:type="dxa"/>
            </w:tcMar>
            <w:vAlign w:val="center"/>
          </w:tcPr>
          <w:p w14:paraId="315A30DC">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网络安全等级测评</w:t>
            </w:r>
          </w:p>
        </w:tc>
        <w:tc>
          <w:tcPr>
            <w:tcW w:w="1146"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0E97FA9A">
            <w:pPr>
              <w:adjustRightInd w:val="0"/>
              <w:snapToGrid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技术测评</w:t>
            </w:r>
          </w:p>
        </w:tc>
        <w:tc>
          <w:tcPr>
            <w:tcW w:w="0" w:type="auto"/>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3C721F10">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安全物理环境测评（物理位置的选择、物理访问控制、防盗窃和防破坏、防雷击、防火、防水和防潮、防静电、温湿度控制、电力供应、电磁防护）；</w:t>
            </w:r>
          </w:p>
          <w:p w14:paraId="5E6E4074">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安全通信网络测评（网络架构、通信传输、可信验证）；</w:t>
            </w:r>
          </w:p>
          <w:p w14:paraId="1F1FCDE1">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安全区域边界测评（边界防护、访问控制、入侵防范、恶意代码防范、安全审计、可信验证）；</w:t>
            </w:r>
          </w:p>
          <w:p w14:paraId="48FAEF59">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安全计算环境（身份鉴别、访问控制、安全审计、入侵防范、恶意代码防范、可信验证、数据完整性、数据保密性、数据备份恢复、剩余信息保护、个人信息保护）；</w:t>
            </w:r>
          </w:p>
          <w:p w14:paraId="57FCA4C4">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安全管理中心测评（系统管理、审计管理、安全管理）。</w:t>
            </w:r>
          </w:p>
        </w:tc>
      </w:tr>
      <w:tr w14:paraId="4A51B42D">
        <w:tblPrEx>
          <w:tblCellMar>
            <w:top w:w="0" w:type="dxa"/>
            <w:left w:w="10" w:type="dxa"/>
            <w:bottom w:w="0" w:type="dxa"/>
            <w:right w:w="10" w:type="dxa"/>
          </w:tblCellMar>
        </w:tblPrEx>
        <w:tc>
          <w:tcPr>
            <w:tcW w:w="1077" w:type="dxa"/>
            <w:vMerge w:val="continue"/>
            <w:tcBorders>
              <w:left w:val="single" w:color="auto" w:sz="4" w:space="0"/>
              <w:bottom w:val="single" w:color="auto" w:sz="4" w:space="0"/>
              <w:right w:val="single" w:color="000000" w:sz="4" w:space="0"/>
            </w:tcBorders>
            <w:shd w:val="clear" w:color="auto" w:fill="FFFFFF"/>
            <w:tcMar>
              <w:left w:w="108" w:type="dxa"/>
              <w:right w:w="108" w:type="dxa"/>
            </w:tcMar>
            <w:vAlign w:val="center"/>
          </w:tcPr>
          <w:p w14:paraId="2155344A">
            <w:pPr>
              <w:widowControl w:val="0"/>
              <w:spacing w:line="360" w:lineRule="auto"/>
              <w:jc w:val="center"/>
              <w:rPr>
                <w:rFonts w:hint="eastAsia" w:asciiTheme="minorEastAsia" w:hAnsiTheme="minorEastAsia" w:eastAsiaTheme="minorEastAsia" w:cstheme="minorEastAsia"/>
                <w:sz w:val="21"/>
                <w:szCs w:val="21"/>
                <w:highlight w:val="none"/>
              </w:rPr>
            </w:pPr>
          </w:p>
        </w:tc>
        <w:tc>
          <w:tcPr>
            <w:tcW w:w="1108" w:type="dxa"/>
            <w:vMerge w:val="continue"/>
            <w:tcBorders>
              <w:left w:val="nil"/>
              <w:bottom w:val="single" w:color="auto" w:sz="4" w:space="0"/>
              <w:right w:val="single" w:color="000000" w:sz="4" w:space="0"/>
            </w:tcBorders>
            <w:shd w:val="clear" w:color="auto" w:fill="FFFFFF"/>
            <w:tcMar>
              <w:left w:w="108" w:type="dxa"/>
              <w:right w:w="108" w:type="dxa"/>
            </w:tcMar>
            <w:vAlign w:val="center"/>
          </w:tcPr>
          <w:p w14:paraId="26640A9D">
            <w:pPr>
              <w:widowControl w:val="0"/>
              <w:spacing w:line="360" w:lineRule="auto"/>
              <w:jc w:val="center"/>
              <w:rPr>
                <w:rFonts w:hint="eastAsia" w:asciiTheme="minorEastAsia" w:hAnsiTheme="minorEastAsia" w:eastAsiaTheme="minorEastAsia" w:cstheme="minorEastAsia"/>
                <w:sz w:val="21"/>
                <w:szCs w:val="21"/>
                <w:highlight w:val="none"/>
              </w:rPr>
            </w:pPr>
          </w:p>
        </w:tc>
        <w:tc>
          <w:tcPr>
            <w:tcW w:w="1146"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1EA991AB">
            <w:pPr>
              <w:pStyle w:val="15"/>
              <w:widowControl/>
              <w:spacing w:line="360" w:lineRule="auto"/>
              <w:ind w:firstLine="0" w:firstLineChars="0"/>
              <w:jc w:val="center"/>
              <w:rPr>
                <w:rFonts w:hint="eastAsia" w:asciiTheme="minorEastAsia" w:hAnsiTheme="minorEastAsia" w:eastAsiaTheme="minorEastAsia" w:cstheme="minorEastAsia"/>
                <w:highlight w:val="none"/>
              </w:rPr>
            </w:pPr>
          </w:p>
          <w:p w14:paraId="3B7EDA05">
            <w:pPr>
              <w:pStyle w:val="15"/>
              <w:widowControl/>
              <w:spacing w:line="360" w:lineRule="auto"/>
              <w:ind w:firstLine="0" w:firstLineChars="0"/>
              <w:jc w:val="center"/>
              <w:rPr>
                <w:rFonts w:hint="eastAsia" w:asciiTheme="minorEastAsia" w:hAnsiTheme="minorEastAsia" w:eastAsiaTheme="minorEastAsia" w:cstheme="minorEastAsia"/>
                <w:highlight w:val="none"/>
              </w:rPr>
            </w:pPr>
          </w:p>
          <w:p w14:paraId="38EF8D1C">
            <w:pPr>
              <w:pStyle w:val="15"/>
              <w:widowControl/>
              <w:spacing w:line="360" w:lineRule="auto"/>
              <w:ind w:firstLine="0" w:firstLineChars="0"/>
              <w:jc w:val="center"/>
              <w:rPr>
                <w:rFonts w:hint="eastAsia" w:asciiTheme="minorEastAsia" w:hAnsiTheme="minorEastAsia" w:eastAsiaTheme="minorEastAsia" w:cstheme="minorEastAsia"/>
                <w:highlight w:val="none"/>
              </w:rPr>
            </w:pPr>
          </w:p>
          <w:p w14:paraId="03515202">
            <w:pPr>
              <w:pStyle w:val="15"/>
              <w:widowControl/>
              <w:spacing w:line="360" w:lineRule="auto"/>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管理测评</w:t>
            </w:r>
          </w:p>
        </w:tc>
        <w:tc>
          <w:tcPr>
            <w:tcW w:w="0" w:type="auto"/>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14:paraId="47C7A967">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安全管理制度测评（管理制度、制定和发布、评审和修订）；</w:t>
            </w:r>
          </w:p>
          <w:p w14:paraId="0FF4D0A9">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安全管理人员测评（人员录用、人员离岗、人员考核、安全意识教育和培训、外部人员访问管理）； </w:t>
            </w:r>
          </w:p>
          <w:p w14:paraId="65E96CB8">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安全管理机构测评（岗位设置、人员配备、授权和审批、沟通和合作、审核和检查）；</w:t>
            </w:r>
          </w:p>
          <w:p w14:paraId="5F5C0509">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安全建设管理测评（系统定级、安全方案设计、产品采购和使用、自行软件开发、外包软件开发、工程实施、测试验收、系统交付、系统交付、安全服务商选择）；</w:t>
            </w:r>
          </w:p>
          <w:p w14:paraId="7B265E46">
            <w:pPr>
              <w:numPr>
                <w:ilvl w:val="0"/>
                <w:numId w:val="3"/>
              </w:numPr>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安全运维管理测评（环境管理、资产管理、介质管理、设备管理、网络安全管理、系统安全管理、恶意代码防范管理、密码管理、变更管理、备份与恢复管理、安全事件处置、应急预案管理）</w:t>
            </w:r>
            <w:r>
              <w:rPr>
                <w:rFonts w:hint="eastAsia" w:asciiTheme="minorEastAsia" w:hAnsiTheme="minorEastAsia" w:eastAsiaTheme="minorEastAsia" w:cstheme="minorEastAsia"/>
                <w:sz w:val="21"/>
                <w:szCs w:val="21"/>
                <w:highlight w:val="none"/>
                <w:lang w:eastAsia="zh-CN"/>
              </w:rPr>
              <w:t>。</w:t>
            </w:r>
          </w:p>
        </w:tc>
      </w:tr>
      <w:tr w14:paraId="1832784E">
        <w:tblPrEx>
          <w:tblCellMar>
            <w:top w:w="0" w:type="dxa"/>
            <w:left w:w="10" w:type="dxa"/>
            <w:bottom w:w="0" w:type="dxa"/>
            <w:right w:w="10" w:type="dxa"/>
          </w:tblCellMar>
        </w:tblPrEx>
        <w:tc>
          <w:tcPr>
            <w:tcW w:w="107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6CE4ACC">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1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4F256F">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w:t>
            </w:r>
          </w:p>
          <w:p w14:paraId="3A3A93CF">
            <w:pPr>
              <w:widowControl w:val="0"/>
              <w:spacing w:line="36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保证</w:t>
            </w:r>
          </w:p>
        </w:tc>
        <w:tc>
          <w:tcPr>
            <w:tcW w:w="6343" w:type="dxa"/>
            <w:gridSpan w:val="2"/>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20185219">
            <w:pPr>
              <w:pStyle w:val="11"/>
              <w:numPr>
                <w:ilvl w:val="0"/>
                <w:numId w:val="12"/>
              </w:numPr>
              <w:spacing w:before="108" w:line="308" w:lineRule="auto"/>
              <w:ind w:left="420" w:leftChars="0" w:right="250" w:rightChars="0" w:hanging="420" w:firstLineChars="0"/>
              <w:jc w:val="both"/>
              <w:rPr>
                <w:rFonts w:hint="eastAsia" w:asciiTheme="minorEastAsia" w:hAnsiTheme="minorEastAsia" w:eastAsiaTheme="minorEastAsia" w:cstheme="minorEastAsia"/>
                <w:kern w:val="2"/>
                <w:sz w:val="21"/>
                <w:szCs w:val="24"/>
                <w:highlight w:val="none"/>
                <w:lang w:val="en-US" w:eastAsia="zh-CN" w:bidi="ar-SA"/>
              </w:rPr>
            </w:pPr>
            <w:r>
              <w:rPr>
                <w:rFonts w:hint="eastAsia" w:asciiTheme="minorEastAsia" w:hAnsiTheme="minorEastAsia" w:eastAsiaTheme="minorEastAsia" w:cstheme="minorEastAsia"/>
                <w:kern w:val="2"/>
                <w:sz w:val="21"/>
                <w:szCs w:val="24"/>
                <w:highlight w:val="none"/>
                <w:lang w:val="en-US" w:eastAsia="zh-CN" w:bidi="ar-SA"/>
              </w:rPr>
              <w:t>严格按照GB/T 28449-2018 《信息系统安全等级保护测评过程指南》标准的要求实施，加强质量监督和复查，保证测评工作质量。在项目实施过程中，做好计划与安排，确保项目实施不影响系统的正常运行。</w:t>
            </w:r>
          </w:p>
        </w:tc>
      </w:tr>
      <w:tr w14:paraId="34139D76">
        <w:tblPrEx>
          <w:tblCellMar>
            <w:top w:w="0" w:type="dxa"/>
            <w:left w:w="10" w:type="dxa"/>
            <w:bottom w:w="0" w:type="dxa"/>
            <w:right w:w="10" w:type="dxa"/>
          </w:tblCellMar>
        </w:tblPrEx>
        <w:tc>
          <w:tcPr>
            <w:tcW w:w="107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22BD42">
            <w:pPr>
              <w:widowControl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1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24B98C6">
            <w:pPr>
              <w:widowControl w:val="0"/>
              <w:spacing w:line="36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工作成果提交</w:t>
            </w:r>
          </w:p>
        </w:tc>
        <w:tc>
          <w:tcPr>
            <w:tcW w:w="6343" w:type="dxa"/>
            <w:gridSpan w:val="2"/>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0969F0DB">
            <w:pPr>
              <w:pStyle w:val="15"/>
              <w:widowControl/>
              <w:numPr>
                <w:ilvl w:val="0"/>
                <w:numId w:val="13"/>
              </w:numPr>
              <w:spacing w:line="360" w:lineRule="auto"/>
              <w:ind w:left="420" w:leftChars="0" w:hanging="420" w:firstLineChars="0"/>
              <w:rPr>
                <w:rFonts w:hint="eastAsia" w:asciiTheme="minorEastAsia" w:hAnsiTheme="minorEastAsia" w:eastAsiaTheme="minorEastAsia" w:cstheme="minorEastAsia"/>
                <w:kern w:val="2"/>
                <w:sz w:val="21"/>
                <w:szCs w:val="24"/>
                <w:highlight w:val="none"/>
                <w:lang w:val="en-US" w:eastAsia="zh-CN" w:bidi="ar-SA"/>
              </w:rPr>
            </w:pPr>
            <w:r>
              <w:rPr>
                <w:rFonts w:hint="eastAsia" w:asciiTheme="minorEastAsia" w:hAnsiTheme="minorEastAsia" w:eastAsiaTheme="minorEastAsia" w:cstheme="minorEastAsia"/>
                <w:highlight w:val="none"/>
              </w:rPr>
              <w:t>形成针对被测</w:t>
            </w:r>
            <w:r>
              <w:rPr>
                <w:rFonts w:hint="eastAsia" w:asciiTheme="minorEastAsia" w:hAnsiTheme="minorEastAsia" w:eastAsiaTheme="minorEastAsia" w:cstheme="minorEastAsia"/>
                <w:kern w:val="2"/>
                <w:sz w:val="21"/>
                <w:szCs w:val="21"/>
                <w:highlight w:val="none"/>
                <w:lang w:val="en-US" w:eastAsia="zh-CN" w:bidi="ar-SA"/>
              </w:rPr>
              <w:t>评系统的《信息系统等级测评报告》（包括：安全问题风险分析和整改建议、漏洞扫描和渗透测试结果、系统测评结果记录）和《网络安全态势分析报告》，使业主方三个系统</w:t>
            </w:r>
            <w:r>
              <w:rPr>
                <w:rFonts w:hint="eastAsia" w:asciiTheme="minorEastAsia" w:hAnsiTheme="minorEastAsia" w:eastAsiaTheme="minorEastAsia" w:cstheme="minorEastAsia"/>
                <w:highlight w:val="none"/>
              </w:rPr>
              <w:t>均达到三级</w:t>
            </w:r>
            <w:r>
              <w:rPr>
                <w:rFonts w:hint="eastAsia" w:asciiTheme="minorEastAsia" w:hAnsiTheme="minorEastAsia" w:eastAsiaTheme="minorEastAsia" w:cstheme="minorEastAsia"/>
                <w:highlight w:val="none"/>
                <w:lang w:eastAsia="zh-CN"/>
              </w:rPr>
              <w:t>网络安全</w:t>
            </w:r>
            <w:r>
              <w:rPr>
                <w:rFonts w:hint="eastAsia" w:asciiTheme="minorEastAsia" w:hAnsiTheme="minorEastAsia" w:eastAsiaTheme="minorEastAsia" w:cstheme="minorEastAsia"/>
                <w:highlight w:val="none"/>
              </w:rPr>
              <w:t>等级保护标准</w:t>
            </w:r>
            <w:r>
              <w:rPr>
                <w:rFonts w:hint="eastAsia" w:asciiTheme="minorEastAsia" w:hAnsiTheme="minorEastAsia" w:eastAsiaTheme="minorEastAsia" w:cstheme="minorEastAsia"/>
                <w:highlight w:val="none"/>
                <w:lang w:eastAsia="zh-CN"/>
              </w:rPr>
              <w:t>。</w:t>
            </w:r>
          </w:p>
        </w:tc>
      </w:tr>
    </w:tbl>
    <w:p w14:paraId="55B79AFB">
      <w:pPr>
        <w:pStyle w:val="19"/>
        <w:pageBreakBefore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p>
    <w:bookmarkEnd w:id="29"/>
    <w:p w14:paraId="6D1F43FD">
      <w:pPr>
        <w:keepNext/>
        <w:pageBreakBefore w:val="0"/>
        <w:tabs>
          <w:tab w:val="left" w:pos="1134"/>
        </w:tabs>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lang w:val="en-US" w:eastAsia="zh-CN"/>
        </w:rPr>
        <w:t>四</w:t>
      </w:r>
      <w:r>
        <w:rPr>
          <w:rFonts w:hint="eastAsia" w:asciiTheme="minorEastAsia" w:hAnsiTheme="minorEastAsia" w:eastAsiaTheme="minorEastAsia" w:cstheme="minorEastAsia"/>
          <w:sz w:val="30"/>
          <w:highlight w:val="none"/>
        </w:rPr>
        <w:t>、部署与实施</w:t>
      </w:r>
    </w:p>
    <w:p w14:paraId="76D35512">
      <w:pPr>
        <w:widowControl w:val="0"/>
        <w:numPr>
          <w:ilvl w:val="0"/>
          <w:numId w:val="1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中选人负责完成服务部署实施。</w:t>
      </w:r>
    </w:p>
    <w:p w14:paraId="13721FB9">
      <w:pPr>
        <w:widowControl w:val="0"/>
        <w:numPr>
          <w:ilvl w:val="0"/>
          <w:numId w:val="14"/>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eastAsia="zh-CN"/>
        </w:rPr>
        <w:t>中选人测评期间不得影响业主方系统正常运行并对业主方系统造成破坏，否则业主方有保留追责的权利。</w:t>
      </w:r>
    </w:p>
    <w:p w14:paraId="337AAFA4">
      <w:pPr>
        <w:widowControl w:val="0"/>
        <w:numPr>
          <w:ilvl w:val="0"/>
          <w:numId w:val="14"/>
        </w:numPr>
        <w:snapToGrid w:val="0"/>
        <w:spacing w:line="360" w:lineRule="auto"/>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中选人负责提交工作成果。</w:t>
      </w:r>
    </w:p>
    <w:p w14:paraId="6D4019EF">
      <w:pPr>
        <w:widowControl w:val="0"/>
        <w:numPr>
          <w:ilvl w:val="0"/>
          <w:numId w:val="14"/>
        </w:numPr>
        <w:snapToGrid w:val="0"/>
        <w:spacing w:line="360" w:lineRule="auto"/>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中选人负责配合业主方完成测试并通过验收。 </w:t>
      </w:r>
    </w:p>
    <w:p w14:paraId="2B53C000">
      <w:pPr>
        <w:widowControl w:val="0"/>
        <w:numPr>
          <w:ilvl w:val="0"/>
          <w:numId w:val="14"/>
        </w:numPr>
        <w:snapToGrid w:val="0"/>
        <w:spacing w:line="360" w:lineRule="auto"/>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中选人负责配合业主方提供培训相关文档及完成使用人员相关培训。</w:t>
      </w:r>
    </w:p>
    <w:p w14:paraId="326A6BB2">
      <w:pPr>
        <w:pageBreakBefore w:val="0"/>
        <w:kinsoku/>
        <w:wordWrap/>
        <w:overflowPunct/>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sz w:val="24"/>
          <w:highlight w:val="none"/>
        </w:rPr>
        <w:br w:type="page"/>
      </w:r>
      <w:bookmarkStart w:id="31" w:name="_Toc108791959"/>
      <w:bookmarkStart w:id="32" w:name="_Toc11794"/>
      <w:bookmarkStart w:id="33" w:name="_Toc24560"/>
      <w:bookmarkStart w:id="34" w:name="_Toc95405121"/>
      <w:bookmarkStart w:id="35" w:name="_Toc14225"/>
      <w:bookmarkStart w:id="36" w:name="_Toc516789240"/>
      <w:bookmarkStart w:id="37" w:name="_Toc9151"/>
      <w:bookmarkStart w:id="38" w:name="_Toc21308"/>
      <w:r>
        <w:rPr>
          <w:rFonts w:hint="eastAsia" w:asciiTheme="minorEastAsia" w:hAnsiTheme="minorEastAsia" w:eastAsiaTheme="minorEastAsia" w:cstheme="minorEastAsia"/>
          <w:kern w:val="0"/>
          <w:sz w:val="36"/>
          <w:szCs w:val="36"/>
          <w:highlight w:val="none"/>
        </w:rPr>
        <w:t>评审办法</w:t>
      </w:r>
      <w:bookmarkEnd w:id="31"/>
      <w:bookmarkEnd w:id="32"/>
      <w:bookmarkEnd w:id="33"/>
      <w:bookmarkEnd w:id="34"/>
      <w:bookmarkEnd w:id="35"/>
      <w:bookmarkEnd w:id="36"/>
      <w:bookmarkEnd w:id="37"/>
      <w:bookmarkEnd w:id="38"/>
    </w:p>
    <w:p w14:paraId="5FA4B18F">
      <w:pPr>
        <w:pageBreakBefore w:val="0"/>
        <w:kinsoku/>
        <w:wordWrap/>
        <w:overflowPunct/>
        <w:topLinePunct w:val="0"/>
        <w:bidi w:val="0"/>
        <w:adjustRightInd w:val="0"/>
        <w:snapToGrid w:val="0"/>
        <w:spacing w:line="360" w:lineRule="auto"/>
        <w:ind w:left="284"/>
        <w:textAlignment w:val="auto"/>
        <w:outlineLvl w:val="1"/>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一、总  则</w:t>
      </w:r>
    </w:p>
    <w:p w14:paraId="08EEEF94">
      <w:pPr>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竞争性比选评选工作严格依据《集团招投标及公开采购管理办法》的相关规定，遵循公平、公开、公正原则，本着科学、严谨的态度，对比选参选文件进行评定，提出优选方案。</w:t>
      </w:r>
    </w:p>
    <w:p w14:paraId="0E3C7FF0">
      <w:pPr>
        <w:pageBreakBefore w:val="0"/>
        <w:kinsoku/>
        <w:wordWrap/>
        <w:overflowPunct/>
        <w:topLinePunct w:val="0"/>
        <w:bidi w:val="0"/>
        <w:adjustRightInd w:val="0"/>
        <w:snapToGrid w:val="0"/>
        <w:spacing w:line="360" w:lineRule="auto"/>
        <w:ind w:firstLine="301" w:firstLineChars="100"/>
        <w:textAlignment w:val="auto"/>
        <w:outlineLvl w:val="1"/>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二、定选办法</w:t>
      </w:r>
    </w:p>
    <w:p w14:paraId="324D44E9">
      <w:pPr>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kern w:val="0"/>
          <w:sz w:val="24"/>
          <w:highlight w:val="none"/>
        </w:rPr>
        <w:t>竞争性比选评选采用综合评估法，比选参选人的竞争性比选评选得分由报价、技术和商务三部分组成，满分为100分，各因素占总分的权重为：</w:t>
      </w:r>
    </w:p>
    <w:p w14:paraId="1C9E28ED">
      <w:pPr>
        <w:pageBreakBefore w:val="0"/>
        <w:kinsoku/>
        <w:wordWrap/>
        <w:overflowPunct/>
        <w:topLinePunct w:val="0"/>
        <w:autoSpaceDE w:val="0"/>
        <w:autoSpaceDN w:val="0"/>
        <w:bidi w:val="0"/>
        <w:adjustRightInd w:val="0"/>
        <w:snapToGrid w:val="0"/>
        <w:spacing w:line="360" w:lineRule="auto"/>
        <w:ind w:left="567"/>
        <w:jc w:val="left"/>
        <w:textAlignment w:val="auto"/>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b/>
          <w:bCs/>
          <w:kern w:val="0"/>
          <w:sz w:val="24"/>
          <w:highlight w:val="none"/>
        </w:rPr>
        <w:t>报价：5</w:t>
      </w:r>
      <w:r>
        <w:rPr>
          <w:rFonts w:hint="eastAsia" w:asciiTheme="minorEastAsia" w:hAnsiTheme="minorEastAsia" w:eastAsiaTheme="minorEastAsia" w:cstheme="minorEastAsia"/>
          <w:b/>
          <w:bCs/>
          <w:kern w:val="0"/>
          <w:sz w:val="24"/>
          <w:highlight w:val="none"/>
          <w:lang w:val="en-US" w:eastAsia="zh-CN"/>
        </w:rPr>
        <w:t>5</w:t>
      </w:r>
      <w:r>
        <w:rPr>
          <w:rFonts w:hint="eastAsia" w:asciiTheme="minorEastAsia" w:hAnsiTheme="minorEastAsia" w:eastAsiaTheme="minorEastAsia" w:cstheme="minorEastAsia"/>
          <w:b/>
          <w:bCs/>
          <w:kern w:val="0"/>
          <w:sz w:val="24"/>
          <w:highlight w:val="none"/>
        </w:rPr>
        <w:t>％，技术：</w:t>
      </w:r>
      <w:r>
        <w:rPr>
          <w:rFonts w:hint="eastAsia" w:asciiTheme="minorEastAsia" w:hAnsiTheme="minorEastAsia" w:eastAsiaTheme="minorEastAsia" w:cstheme="minorEastAsia"/>
          <w:b/>
          <w:bCs/>
          <w:kern w:val="0"/>
          <w:sz w:val="24"/>
          <w:highlight w:val="none"/>
          <w:lang w:val="en-US" w:eastAsia="zh-CN"/>
        </w:rPr>
        <w:t>25</w:t>
      </w:r>
      <w:r>
        <w:rPr>
          <w:rFonts w:hint="eastAsia" w:asciiTheme="minorEastAsia" w:hAnsiTheme="minorEastAsia" w:eastAsiaTheme="minorEastAsia" w:cstheme="minorEastAsia"/>
          <w:b/>
          <w:bCs/>
          <w:kern w:val="0"/>
          <w:sz w:val="24"/>
          <w:highlight w:val="none"/>
        </w:rPr>
        <w:t>％，商务：</w:t>
      </w:r>
      <w:r>
        <w:rPr>
          <w:rFonts w:hint="eastAsia" w:asciiTheme="minorEastAsia" w:hAnsiTheme="minorEastAsia" w:eastAsiaTheme="minorEastAsia" w:cstheme="minorEastAsia"/>
          <w:b/>
          <w:bCs/>
          <w:kern w:val="0"/>
          <w:sz w:val="24"/>
          <w:highlight w:val="none"/>
          <w:lang w:val="en-US" w:eastAsia="zh-CN"/>
        </w:rPr>
        <w:t>2</w:t>
      </w:r>
      <w:r>
        <w:rPr>
          <w:rFonts w:hint="eastAsia" w:asciiTheme="minorEastAsia" w:hAnsiTheme="minorEastAsia" w:eastAsiaTheme="minorEastAsia" w:cstheme="minorEastAsia"/>
          <w:b/>
          <w:bCs/>
          <w:kern w:val="0"/>
          <w:sz w:val="24"/>
          <w:highlight w:val="none"/>
        </w:rPr>
        <w:t>0％。</w:t>
      </w:r>
    </w:p>
    <w:p w14:paraId="7DA2F7FC">
      <w:pPr>
        <w:pageBreakBefore w:val="0"/>
        <w:tabs>
          <w:tab w:val="left" w:pos="560"/>
        </w:tabs>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b/>
          <w:bCs/>
          <w:kern w:val="0"/>
          <w:sz w:val="24"/>
          <w:highlight w:val="none"/>
        </w:rPr>
        <w:t>报价部分：5</w:t>
      </w:r>
      <w:r>
        <w:rPr>
          <w:rFonts w:hint="eastAsia" w:asciiTheme="minorEastAsia" w:hAnsiTheme="minorEastAsia" w:eastAsiaTheme="minorEastAsia" w:cstheme="minorEastAsia"/>
          <w:b/>
          <w:bCs/>
          <w:kern w:val="0"/>
          <w:sz w:val="24"/>
          <w:highlight w:val="none"/>
          <w:lang w:val="en-US" w:eastAsia="zh-CN"/>
        </w:rPr>
        <w:t>5</w:t>
      </w:r>
      <w:r>
        <w:rPr>
          <w:rFonts w:hint="eastAsia" w:asciiTheme="minorEastAsia" w:hAnsiTheme="minorEastAsia" w:eastAsiaTheme="minorEastAsia" w:cstheme="minorEastAsia"/>
          <w:b/>
          <w:bCs/>
          <w:kern w:val="0"/>
          <w:sz w:val="24"/>
          <w:highlight w:val="none"/>
        </w:rPr>
        <w:t>分</w:t>
      </w:r>
    </w:p>
    <w:p w14:paraId="177E86E5">
      <w:pPr>
        <w:widowControl w:val="0"/>
        <w:autoSpaceDE w:val="0"/>
        <w:autoSpaceDN w:val="0"/>
        <w:adjustRightInd w:val="0"/>
        <w:spacing w:line="360" w:lineRule="auto"/>
        <w:ind w:firstLine="484" w:firstLineChars="20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以满足竞争性比选文件要求的有效报价的最低价为比选评选基准价，</w:t>
      </w:r>
      <w:r>
        <w:rPr>
          <w:rFonts w:hint="eastAsia" w:ascii="宋体" w:hAnsi="宋体" w:eastAsia="宋体" w:cs="宋体"/>
          <w:color w:val="auto"/>
          <w:kern w:val="0"/>
          <w:sz w:val="24"/>
          <w:szCs w:val="24"/>
          <w:highlight w:val="none"/>
        </w:rPr>
        <w:t>比选参选报价等于基准价得5</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kern w:val="0"/>
          <w:sz w:val="24"/>
          <w:szCs w:val="24"/>
          <w:highlight w:val="none"/>
        </w:rPr>
        <w:t>其它经初步评审合格的报价与基准价相比，比选参选报价每高于基准价1%减1分，最多减1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198BAC26">
      <w:pPr>
        <w:widowControl w:val="0"/>
        <w:autoSpaceDE w:val="0"/>
        <w:autoSpaceDN w:val="0"/>
        <w:adjustRightInd w:val="0"/>
        <w:spacing w:line="360" w:lineRule="auto"/>
        <w:ind w:firstLine="484" w:firstLineChars="20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计算公式为： </w:t>
      </w:r>
    </w:p>
    <w:p w14:paraId="39C70C4B">
      <w:pPr>
        <w:widowControl w:val="0"/>
        <w:autoSpaceDE w:val="0"/>
        <w:autoSpaceDN w:val="0"/>
        <w:adjustRightInd w:val="0"/>
        <w:spacing w:line="360" w:lineRule="auto"/>
        <w:ind w:firstLine="484" w:firstLineChars="20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参选价高于基准价：报价得分=5</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－（比选参选报价－比选评选基准价）/比选评选基准价×(1/0.01)</w:t>
      </w:r>
    </w:p>
    <w:p w14:paraId="2DA7BEA0">
      <w:pPr>
        <w:widowControl w:val="0"/>
        <w:autoSpaceDE w:val="0"/>
        <w:autoSpaceDN w:val="0"/>
        <w:adjustRightInd w:val="0"/>
        <w:spacing w:line="360" w:lineRule="auto"/>
        <w:ind w:firstLine="484" w:firstLineChars="20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(得分保留2位小数点，第3位四舍五入)。</w:t>
      </w:r>
    </w:p>
    <w:p w14:paraId="5BAEBB8E">
      <w:pPr>
        <w:pageBreakBefore w:val="0"/>
        <w:tabs>
          <w:tab w:val="left" w:pos="560"/>
        </w:tabs>
        <w:kinsoku/>
        <w:wordWrap/>
        <w:overflowPunct/>
        <w:topLinePunct w:val="0"/>
        <w:autoSpaceDE w:val="0"/>
        <w:autoSpaceDN w:val="0"/>
        <w:bidi w:val="0"/>
        <w:adjustRightInd w:val="0"/>
        <w:snapToGrid w:val="0"/>
        <w:spacing w:line="240" w:lineRule="auto"/>
        <w:jc w:val="left"/>
        <w:textAlignment w:val="auto"/>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技术部分：</w:t>
      </w:r>
      <w:r>
        <w:rPr>
          <w:rFonts w:hint="eastAsia" w:asciiTheme="minorEastAsia" w:hAnsiTheme="minorEastAsia" w:eastAsiaTheme="minorEastAsia" w:cstheme="minorEastAsia"/>
          <w:b/>
          <w:bCs/>
          <w:kern w:val="0"/>
          <w:sz w:val="24"/>
          <w:highlight w:val="none"/>
          <w:lang w:val="en-US" w:eastAsia="zh-CN"/>
        </w:rPr>
        <w:t>25</w:t>
      </w:r>
      <w:r>
        <w:rPr>
          <w:rFonts w:hint="eastAsia" w:asciiTheme="minorEastAsia" w:hAnsiTheme="minorEastAsia" w:eastAsiaTheme="minorEastAsia" w:cstheme="minorEastAsia"/>
          <w:b/>
          <w:bCs/>
          <w:kern w:val="0"/>
          <w:sz w:val="24"/>
          <w:highlight w:val="none"/>
        </w:rPr>
        <w:t>分</w:t>
      </w:r>
    </w:p>
    <w:tbl>
      <w:tblPr>
        <w:tblStyle w:val="16"/>
        <w:tblpPr w:leftFromText="180" w:rightFromText="180" w:vertAnchor="text" w:horzAnchor="margin" w:tblpXSpec="center" w:tblpY="172"/>
        <w:tblOverlap w:val="never"/>
        <w:tblW w:w="8295" w:type="dxa"/>
        <w:tblInd w:w="0" w:type="dxa"/>
        <w:tblLayout w:type="fixed"/>
        <w:tblCellMar>
          <w:top w:w="57" w:type="dxa"/>
          <w:left w:w="85" w:type="dxa"/>
          <w:bottom w:w="57" w:type="dxa"/>
          <w:right w:w="85" w:type="dxa"/>
        </w:tblCellMar>
      </w:tblPr>
      <w:tblGrid>
        <w:gridCol w:w="1692"/>
        <w:gridCol w:w="6603"/>
      </w:tblGrid>
      <w:tr w14:paraId="27C6BA32">
        <w:tblPrEx>
          <w:tblCellMar>
            <w:top w:w="57" w:type="dxa"/>
            <w:left w:w="85" w:type="dxa"/>
            <w:bottom w:w="57" w:type="dxa"/>
            <w:right w:w="85" w:type="dxa"/>
          </w:tblCellMar>
        </w:tblPrEx>
        <w:trPr>
          <w:trHeight w:val="403" w:hRule="atLeast"/>
        </w:trPr>
        <w:tc>
          <w:tcPr>
            <w:tcW w:w="1693" w:type="dxa"/>
            <w:tcBorders>
              <w:top w:val="single" w:color="auto" w:sz="4" w:space="0"/>
              <w:left w:val="single" w:color="auto" w:sz="4" w:space="0"/>
              <w:bottom w:val="single" w:color="auto" w:sz="4" w:space="0"/>
              <w:right w:val="single" w:color="auto" w:sz="4" w:space="0"/>
            </w:tcBorders>
            <w:vAlign w:val="center"/>
          </w:tcPr>
          <w:p w14:paraId="1454F84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sz w:val="24"/>
                <w:highlight w:val="none"/>
              </w:rPr>
              <w:t>项目技术需求</w:t>
            </w:r>
          </w:p>
          <w:p w14:paraId="2B1B33C8">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val="en-US" w:eastAsia="zh-CN"/>
              </w:rPr>
              <w:t>25</w:t>
            </w:r>
            <w:r>
              <w:rPr>
                <w:rFonts w:hint="eastAsia" w:asciiTheme="minorEastAsia" w:hAnsiTheme="minorEastAsia" w:eastAsiaTheme="minorEastAsia" w:cstheme="minorEastAsia"/>
                <w:b/>
                <w:bCs/>
                <w:sz w:val="24"/>
                <w:highlight w:val="none"/>
              </w:rPr>
              <w:t>分）</w:t>
            </w:r>
          </w:p>
        </w:tc>
        <w:tc>
          <w:tcPr>
            <w:tcW w:w="6607" w:type="dxa"/>
            <w:tcBorders>
              <w:top w:val="single" w:color="auto" w:sz="4" w:space="0"/>
              <w:left w:val="single" w:color="auto" w:sz="4" w:space="0"/>
              <w:bottom w:val="single" w:color="auto" w:sz="4" w:space="0"/>
              <w:right w:val="single" w:color="auto" w:sz="4" w:space="0"/>
            </w:tcBorders>
            <w:vAlign w:val="center"/>
          </w:tcPr>
          <w:p w14:paraId="2A7EAA91">
            <w:pPr>
              <w:pStyle w:val="15"/>
              <w:pageBreakBefore w:val="0"/>
              <w:kinsoku/>
              <w:wordWrap/>
              <w:overflowPunct/>
              <w:topLinePunct w:val="0"/>
              <w:bidi w:val="0"/>
              <w:adjustRightInd w:val="0"/>
              <w:snapToGrid w:val="0"/>
              <w:spacing w:after="0" w:line="360" w:lineRule="auto"/>
              <w:ind w:firstLine="0" w:firstLineChars="0"/>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基础功能，最多得</w:t>
            </w:r>
            <w:r>
              <w:rPr>
                <w:rFonts w:hint="eastAsia" w:asciiTheme="minorEastAsia" w:hAnsiTheme="minorEastAsia" w:eastAsiaTheme="minorEastAsia" w:cstheme="minorEastAsia"/>
                <w:b/>
                <w:highlight w:val="none"/>
                <w:lang w:val="en-US" w:eastAsia="zh-CN"/>
              </w:rPr>
              <w:t>7</w:t>
            </w:r>
            <w:r>
              <w:rPr>
                <w:rFonts w:hint="eastAsia" w:asciiTheme="minorEastAsia" w:hAnsiTheme="minorEastAsia" w:eastAsiaTheme="minorEastAsia" w:cstheme="minorEastAsia"/>
                <w:b/>
                <w:highlight w:val="none"/>
              </w:rPr>
              <w:t>分</w:t>
            </w:r>
          </w:p>
          <w:p w14:paraId="1C6A1470">
            <w:pPr>
              <w:pStyle w:val="15"/>
              <w:pageBreakBefore w:val="0"/>
              <w:kinsoku/>
              <w:wordWrap/>
              <w:overflowPunct/>
              <w:topLinePunct w:val="0"/>
              <w:bidi w:val="0"/>
              <w:adjustRightInd w:val="0"/>
              <w:snapToGrid w:val="0"/>
              <w:spacing w:after="0" w:line="360" w:lineRule="auto"/>
              <w:ind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符合本比选文件 “项目技术需求”中“三、</w:t>
            </w:r>
            <w:r>
              <w:rPr>
                <w:rFonts w:hint="eastAsia" w:asciiTheme="minorEastAsia" w:hAnsiTheme="minorEastAsia" w:eastAsiaTheme="minorEastAsia" w:cstheme="minorEastAsia"/>
                <w:highlight w:val="none"/>
                <w:lang w:val="en-US" w:eastAsia="zh-CN"/>
              </w:rPr>
              <w:t>技术服务清单</w:t>
            </w:r>
            <w:r>
              <w:rPr>
                <w:rFonts w:hint="eastAsia" w:asciiTheme="minorEastAsia" w:hAnsiTheme="minorEastAsia" w:eastAsiaTheme="minorEastAsia" w:cstheme="minorEastAsia"/>
                <w:highlight w:val="none"/>
              </w:rPr>
              <w:t>”的技术需求并对表中各项一一应答的,得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分；有不对应的，每一条扣</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分，扣完为止。</w:t>
            </w:r>
          </w:p>
          <w:p w14:paraId="7B74C12D">
            <w:pPr>
              <w:pStyle w:val="15"/>
              <w:pageBreakBefore w:val="0"/>
              <w:kinsoku/>
              <w:wordWrap/>
              <w:overflowPunct/>
              <w:topLinePunct w:val="0"/>
              <w:bidi w:val="0"/>
              <w:adjustRightInd w:val="0"/>
              <w:snapToGrid w:val="0"/>
              <w:spacing w:after="0" w:line="360" w:lineRule="auto"/>
              <w:ind w:firstLine="0" w:firstLineChars="0"/>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lang w:val="en-US" w:eastAsia="zh-CN"/>
              </w:rPr>
              <w:t>项目计划和方案</w:t>
            </w:r>
            <w:r>
              <w:rPr>
                <w:rFonts w:hint="eastAsia" w:asciiTheme="minorEastAsia" w:hAnsiTheme="minorEastAsia" w:eastAsiaTheme="minorEastAsia" w:cstheme="minorEastAsia"/>
                <w:b/>
                <w:highlight w:val="none"/>
              </w:rPr>
              <w:t>，最多得</w:t>
            </w:r>
            <w:r>
              <w:rPr>
                <w:rFonts w:hint="eastAsia" w:asciiTheme="minorEastAsia" w:hAnsiTheme="minorEastAsia" w:eastAsiaTheme="minorEastAsia" w:cstheme="minorEastAsia"/>
                <w:b/>
                <w:highlight w:val="none"/>
                <w:lang w:val="en-US" w:eastAsia="zh-CN"/>
              </w:rPr>
              <w:t>18</w:t>
            </w:r>
            <w:r>
              <w:rPr>
                <w:rFonts w:hint="eastAsia" w:asciiTheme="minorEastAsia" w:hAnsiTheme="minorEastAsia" w:eastAsiaTheme="minorEastAsia" w:cstheme="minorEastAsia"/>
                <w:b/>
                <w:highlight w:val="none"/>
              </w:rPr>
              <w:t>分</w:t>
            </w:r>
          </w:p>
          <w:p w14:paraId="3E21EE38">
            <w:pPr>
              <w:pStyle w:val="2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根据国家网络安全等级保护测评相关要求提出项目计划和方案，方案结构完整，目的依据明确，至少应包括工作内容、组织方案、实施方案、质量管控、数据安全和保密等</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个部分，各部分内容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详实合理。</w:t>
            </w:r>
          </w:p>
          <w:p w14:paraId="251580D8">
            <w:pPr>
              <w:pStyle w:val="20"/>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项目计划：对项目实施安排科学合理，得</w:t>
            </w:r>
            <w:r>
              <w:rPr>
                <w:rFonts w:hint="eastAsia" w:ascii="宋体" w:hAnsi="宋体" w:eastAsia="宋体" w:cs="宋体"/>
                <w:sz w:val="21"/>
                <w:szCs w:val="21"/>
                <w:highlight w:val="none"/>
                <w:lang w:val="en-US" w:eastAsia="zh-CN"/>
              </w:rPr>
              <w:t>1-3分，无响应不得分；</w:t>
            </w:r>
          </w:p>
          <w:p w14:paraId="084DE250">
            <w:pPr>
              <w:pStyle w:val="2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工作内容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对内容完整性进行评分，得1-3分，无响应不得分；</w:t>
            </w:r>
          </w:p>
          <w:p w14:paraId="47BFC1F8">
            <w:pPr>
              <w:pStyle w:val="20"/>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组织方案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对科学合理性进行评分，得1-3分，无响应不得分；</w:t>
            </w:r>
          </w:p>
          <w:p w14:paraId="41B1725C">
            <w:pPr>
              <w:pStyle w:val="20"/>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实施方案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对可操作性进行评分，得1-3分，无响应不得分；</w:t>
            </w:r>
          </w:p>
          <w:p w14:paraId="1DE770C5">
            <w:pPr>
              <w:pStyle w:val="2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质量管控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质量管控</w:t>
            </w:r>
            <w:r>
              <w:rPr>
                <w:rFonts w:hint="eastAsia" w:ascii="宋体" w:hAnsi="宋体" w:eastAsia="宋体" w:cs="宋体"/>
                <w:sz w:val="21"/>
                <w:szCs w:val="21"/>
                <w:highlight w:val="none"/>
                <w:lang w:val="en-US" w:eastAsia="zh-CN"/>
              </w:rPr>
              <w:t>进行评分，得1-3分，无响应不得分；</w:t>
            </w:r>
          </w:p>
          <w:p w14:paraId="3EB05770">
            <w:pPr>
              <w:pStyle w:val="2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数据安全和保密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数据安全和保密</w:t>
            </w:r>
            <w:r>
              <w:rPr>
                <w:rFonts w:hint="eastAsia" w:ascii="宋体" w:hAnsi="宋体" w:eastAsia="宋体" w:cs="宋体"/>
                <w:sz w:val="21"/>
                <w:szCs w:val="21"/>
                <w:highlight w:val="none"/>
                <w:lang w:val="en-US" w:eastAsia="zh-CN"/>
              </w:rPr>
              <w:t>方案进行评分，得1-3分，无响应不得分。</w:t>
            </w:r>
          </w:p>
          <w:p w14:paraId="3FA5BC2C">
            <w:pPr>
              <w:pStyle w:val="20"/>
              <w:pageBreakBefore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以上加分项佐证</w:t>
            </w:r>
            <w:r>
              <w:rPr>
                <w:rFonts w:hint="eastAsia" w:asciiTheme="minorEastAsia" w:hAnsiTheme="minorEastAsia" w:eastAsiaTheme="minorEastAsia" w:cstheme="minorEastAsia"/>
                <w:b/>
                <w:bCs/>
                <w:highlight w:val="none"/>
                <w:lang w:val="en-US" w:eastAsia="zh-CN"/>
              </w:rPr>
              <w:t>材料均须</w:t>
            </w:r>
            <w:r>
              <w:rPr>
                <w:rFonts w:hint="eastAsia" w:asciiTheme="minorEastAsia" w:hAnsiTheme="minorEastAsia" w:eastAsiaTheme="minorEastAsia" w:cstheme="minorEastAsia"/>
                <w:b/>
                <w:bCs/>
                <w:szCs w:val="21"/>
                <w:highlight w:val="none"/>
              </w:rPr>
              <w:t>加盖比选参选人公章</w:t>
            </w:r>
          </w:p>
        </w:tc>
      </w:tr>
    </w:tbl>
    <w:p w14:paraId="75CA2DF1">
      <w:pPr>
        <w:pageBreakBefore w:val="0"/>
        <w:tabs>
          <w:tab w:val="left" w:pos="560"/>
        </w:tabs>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b/>
          <w:bCs/>
          <w:kern w:val="0"/>
          <w:sz w:val="24"/>
          <w:highlight w:val="none"/>
        </w:rPr>
        <w:t>商务部分：</w:t>
      </w:r>
      <w:r>
        <w:rPr>
          <w:rFonts w:hint="eastAsia" w:asciiTheme="minorEastAsia" w:hAnsiTheme="minorEastAsia" w:eastAsiaTheme="minorEastAsia" w:cstheme="minorEastAsia"/>
          <w:b/>
          <w:bCs/>
          <w:kern w:val="0"/>
          <w:sz w:val="24"/>
          <w:highlight w:val="none"/>
          <w:lang w:val="en-US" w:eastAsia="zh-CN"/>
        </w:rPr>
        <w:t>2</w:t>
      </w:r>
      <w:r>
        <w:rPr>
          <w:rFonts w:hint="eastAsia" w:asciiTheme="minorEastAsia" w:hAnsiTheme="minorEastAsia" w:eastAsiaTheme="minorEastAsia" w:cstheme="minorEastAsia"/>
          <w:b/>
          <w:bCs/>
          <w:kern w:val="0"/>
          <w:sz w:val="24"/>
          <w:highlight w:val="none"/>
        </w:rPr>
        <w:t>0分</w:t>
      </w:r>
    </w:p>
    <w:tbl>
      <w:tblPr>
        <w:tblStyle w:val="16"/>
        <w:tblW w:w="8325" w:type="dxa"/>
        <w:jc w:val="center"/>
        <w:tblLayout w:type="fixed"/>
        <w:tblCellMar>
          <w:top w:w="57" w:type="dxa"/>
          <w:left w:w="85" w:type="dxa"/>
          <w:bottom w:w="57" w:type="dxa"/>
          <w:right w:w="85" w:type="dxa"/>
        </w:tblCellMar>
      </w:tblPr>
      <w:tblGrid>
        <w:gridCol w:w="1686"/>
        <w:gridCol w:w="6639"/>
      </w:tblGrid>
      <w:tr w14:paraId="148A110F">
        <w:tblPrEx>
          <w:tblCellMar>
            <w:top w:w="57" w:type="dxa"/>
            <w:left w:w="85" w:type="dxa"/>
            <w:bottom w:w="57" w:type="dxa"/>
            <w:right w:w="85" w:type="dxa"/>
          </w:tblCellMar>
        </w:tblPrEx>
        <w:trPr>
          <w:trHeight w:val="401"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14:paraId="177CA45B">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sz w:val="24"/>
                <w:highlight w:val="none"/>
              </w:rPr>
              <w:t>项目商务需求</w:t>
            </w:r>
          </w:p>
          <w:p w14:paraId="5C0DAA6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36"/>
                <w:szCs w:val="36"/>
                <w:highlight w:val="none"/>
              </w:rPr>
            </w:pP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val="en-US" w:eastAsia="zh-CN"/>
              </w:rPr>
              <w:t>2</w:t>
            </w:r>
            <w:r>
              <w:rPr>
                <w:rFonts w:hint="eastAsia" w:asciiTheme="minorEastAsia" w:hAnsiTheme="minorEastAsia" w:eastAsiaTheme="minorEastAsia" w:cstheme="minorEastAsia"/>
                <w:b/>
                <w:bCs/>
                <w:sz w:val="24"/>
                <w:highlight w:val="none"/>
              </w:rPr>
              <w:t>0分）</w:t>
            </w:r>
          </w:p>
        </w:tc>
        <w:tc>
          <w:tcPr>
            <w:tcW w:w="6641" w:type="dxa"/>
            <w:tcBorders>
              <w:top w:val="single" w:color="auto" w:sz="4" w:space="0"/>
              <w:left w:val="single" w:color="auto" w:sz="4" w:space="0"/>
              <w:bottom w:val="single" w:color="auto" w:sz="4" w:space="0"/>
              <w:right w:val="single" w:color="auto" w:sz="4" w:space="0"/>
            </w:tcBorders>
            <w:vAlign w:val="center"/>
          </w:tcPr>
          <w:p w14:paraId="4B6B83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基础响应，最多</w:t>
            </w:r>
            <w:r>
              <w:rPr>
                <w:rFonts w:hint="eastAsia" w:asciiTheme="minorEastAsia" w:hAnsiTheme="minorEastAsia" w:eastAsiaTheme="minorEastAsia" w:cstheme="minorEastAsia"/>
                <w:b/>
                <w:szCs w:val="21"/>
                <w:highlight w:val="none"/>
                <w:lang w:val="en-US" w:eastAsia="zh-CN"/>
              </w:rPr>
              <w:t>6</w:t>
            </w:r>
            <w:r>
              <w:rPr>
                <w:rFonts w:hint="eastAsia" w:asciiTheme="minorEastAsia" w:hAnsiTheme="minorEastAsia" w:eastAsiaTheme="minorEastAsia" w:cstheme="minorEastAsia"/>
                <w:b/>
                <w:szCs w:val="21"/>
                <w:highlight w:val="none"/>
              </w:rPr>
              <w:t>分</w:t>
            </w:r>
          </w:p>
          <w:p w14:paraId="4D8EDBE3">
            <w:pPr>
              <w:keepNext w:val="0"/>
              <w:keepLines w:val="0"/>
              <w:pageBreakBefore w:val="0"/>
              <w:widowControl w:val="0"/>
              <w:tabs>
                <w:tab w:val="left" w:pos="340"/>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符合或优于本比选文件“竞争性比选项目要求”中“4、比选商务”1-4项的，得</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分，</w:t>
            </w:r>
            <w:r>
              <w:rPr>
                <w:rFonts w:hint="eastAsia" w:ascii="宋体" w:hAnsi="宋体" w:eastAsia="宋体" w:cs="宋体"/>
                <w:sz w:val="21"/>
                <w:szCs w:val="21"/>
                <w:highlight w:val="none"/>
              </w:rPr>
              <w:t>有不对应的，每一条扣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分，扣完为止。</w:t>
            </w:r>
          </w:p>
          <w:p w14:paraId="26D9B887">
            <w:pPr>
              <w:pStyle w:val="1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以下为加分项，最多得1</w:t>
            </w:r>
            <w:r>
              <w:rPr>
                <w:rFonts w:hint="eastAsia" w:ascii="宋体" w:hAnsi="宋体" w:eastAsia="宋体" w:cs="宋体"/>
                <w:b/>
                <w:sz w:val="21"/>
                <w:szCs w:val="21"/>
                <w:highlight w:val="none"/>
                <w:lang w:val="en-US" w:eastAsia="zh-CN"/>
              </w:rPr>
              <w:t>4</w:t>
            </w:r>
            <w:r>
              <w:rPr>
                <w:rFonts w:hint="eastAsia" w:ascii="宋体" w:hAnsi="宋体" w:eastAsia="宋体" w:cs="宋体"/>
                <w:b/>
                <w:sz w:val="21"/>
                <w:szCs w:val="21"/>
                <w:highlight w:val="none"/>
              </w:rPr>
              <w:t>分</w:t>
            </w:r>
          </w:p>
          <w:p w14:paraId="7869DA4E">
            <w:pPr>
              <w:pStyle w:val="15"/>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项目团队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873F32A">
            <w:pPr>
              <w:pStyle w:val="15"/>
              <w:keepNext w:val="0"/>
              <w:keepLines w:val="0"/>
              <w:pageBreakBefore w:val="0"/>
              <w:widowControl w:val="0"/>
              <w:numPr>
                <w:ilvl w:val="0"/>
                <w:numId w:val="16"/>
              </w:numPr>
              <w:tabs>
                <w:tab w:val="left" w:pos="312"/>
              </w:tabs>
              <w:kinsoku/>
              <w:wordWrap/>
              <w:overflowPunct/>
              <w:topLinePunct w:val="0"/>
              <w:autoSpaceDE/>
              <w:autoSpaceDN/>
              <w:bidi w:val="0"/>
              <w:adjustRightInd w:val="0"/>
              <w:snapToGrid w:val="0"/>
              <w:spacing w:line="360" w:lineRule="auto"/>
              <w:ind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团队中</w:t>
            </w:r>
            <w:r>
              <w:rPr>
                <w:rFonts w:hint="eastAsia" w:ascii="宋体" w:hAnsi="宋体" w:eastAsia="宋体" w:cs="宋体"/>
                <w:color w:val="auto"/>
                <w:sz w:val="21"/>
                <w:szCs w:val="21"/>
                <w:highlight w:val="none"/>
                <w:lang w:val="en-US" w:eastAsia="zh-CN"/>
              </w:rPr>
              <w:t>有不少于两名成员具备</w:t>
            </w:r>
            <w:r>
              <w:rPr>
                <w:rFonts w:hint="eastAsia" w:ascii="宋体" w:hAnsi="宋体" w:eastAsia="宋体" w:cs="宋体"/>
                <w:color w:val="auto"/>
                <w:sz w:val="21"/>
                <w:szCs w:val="21"/>
                <w:highlight w:val="none"/>
              </w:rPr>
              <w:t>信息安全等级测评师证书（高级）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C238B02">
            <w:pPr>
              <w:pStyle w:val="15"/>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sz w:val="21"/>
                <w:szCs w:val="21"/>
                <w:highlight w:val="none"/>
                <w:lang w:val="en-US" w:eastAsia="zh-CN"/>
              </w:rPr>
              <w:t>参选人</w:t>
            </w:r>
            <w:r>
              <w:rPr>
                <w:rFonts w:hint="eastAsia" w:ascii="宋体" w:hAnsi="宋体" w:eastAsia="宋体" w:cs="宋体"/>
                <w:b/>
                <w:sz w:val="21"/>
                <w:szCs w:val="21"/>
                <w:highlight w:val="none"/>
              </w:rPr>
              <w:t>需提供信息安全等级测评师证书</w:t>
            </w:r>
            <w:r>
              <w:rPr>
                <w:rFonts w:hint="eastAsia" w:ascii="宋体" w:hAnsi="宋体" w:eastAsia="宋体" w:cs="宋体"/>
                <w:b/>
                <w:sz w:val="21"/>
                <w:szCs w:val="21"/>
                <w:highlight w:val="none"/>
                <w:lang w:val="en-US" w:eastAsia="zh-CN"/>
              </w:rPr>
              <w:t>复印件和为团队成员缴纳社保的</w:t>
            </w:r>
            <w:r>
              <w:rPr>
                <w:rFonts w:hint="eastAsia" w:ascii="宋体" w:hAnsi="宋体" w:eastAsia="宋体" w:cs="宋体"/>
                <w:b/>
                <w:sz w:val="21"/>
                <w:szCs w:val="21"/>
                <w:highlight w:val="none"/>
              </w:rPr>
              <w:t>证明材料并加盖比选参选人单位公章。</w:t>
            </w:r>
          </w:p>
          <w:p w14:paraId="3AC3CAB7">
            <w:pPr>
              <w:pStyle w:val="15"/>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人员资质                                0-2分</w:t>
            </w:r>
          </w:p>
          <w:p w14:paraId="7BE2C7C5">
            <w:pPr>
              <w:pStyle w:val="15"/>
              <w:keepNext w:val="0"/>
              <w:keepLines w:val="0"/>
              <w:pageBreakBefore w:val="0"/>
              <w:widowControl w:val="0"/>
              <w:numPr>
                <w:ilvl w:val="0"/>
                <w:numId w:val="16"/>
              </w:numPr>
              <w:tabs>
                <w:tab w:val="left" w:pos="312"/>
              </w:tabs>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项目团队成员中具有软件测试高级工程师证书的，得1分；</w:t>
            </w:r>
          </w:p>
          <w:p w14:paraId="5A3080FF">
            <w:pPr>
              <w:pStyle w:val="15"/>
              <w:keepNext w:val="0"/>
              <w:keepLines w:val="0"/>
              <w:pageBreakBefore w:val="0"/>
              <w:widowControl w:val="0"/>
              <w:numPr>
                <w:ilvl w:val="0"/>
                <w:numId w:val="16"/>
              </w:numPr>
              <w:tabs>
                <w:tab w:val="left" w:pos="312"/>
              </w:tabs>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项目团队成员中</w:t>
            </w:r>
            <w:r>
              <w:rPr>
                <w:rFonts w:hint="eastAsia" w:ascii="宋体" w:hAnsi="宋体" w:eastAsia="宋体" w:cs="宋体"/>
                <w:color w:val="auto"/>
                <w:kern w:val="2"/>
                <w:sz w:val="21"/>
                <w:szCs w:val="21"/>
                <w:highlight w:val="none"/>
                <w:lang w:val="en-US" w:eastAsia="zh-CN" w:bidi="ar-SA"/>
              </w:rPr>
              <w:t>具有信息系统工程监理工程师证书的，得1分。</w:t>
            </w:r>
          </w:p>
          <w:p w14:paraId="1850B57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sz w:val="21"/>
                <w:szCs w:val="21"/>
                <w:highlight w:val="none"/>
                <w:lang w:val="en-US" w:eastAsia="zh-CN"/>
              </w:rPr>
              <w:t>以上</w:t>
            </w:r>
            <w:r>
              <w:rPr>
                <w:rFonts w:hint="eastAsia" w:ascii="宋体" w:hAnsi="宋体" w:eastAsia="宋体" w:cs="宋体"/>
                <w:b/>
                <w:sz w:val="21"/>
                <w:szCs w:val="21"/>
                <w:highlight w:val="none"/>
              </w:rPr>
              <w:t>需提供证明材料</w:t>
            </w:r>
            <w:r>
              <w:rPr>
                <w:rFonts w:hint="eastAsia" w:ascii="宋体" w:hAnsi="宋体" w:eastAsia="宋体" w:cs="宋体"/>
                <w:b/>
                <w:sz w:val="21"/>
                <w:szCs w:val="21"/>
                <w:highlight w:val="none"/>
                <w:lang w:val="en-US" w:eastAsia="zh-CN"/>
              </w:rPr>
              <w:t>和为团队成员缴纳社保的</w:t>
            </w:r>
            <w:r>
              <w:rPr>
                <w:rFonts w:hint="eastAsia" w:ascii="宋体" w:hAnsi="宋体" w:eastAsia="宋体" w:cs="宋体"/>
                <w:b/>
                <w:sz w:val="21"/>
                <w:szCs w:val="21"/>
                <w:highlight w:val="none"/>
              </w:rPr>
              <w:t>证明材料并加盖比选参选人单位公章。</w:t>
            </w:r>
          </w:p>
          <w:p w14:paraId="7C297120">
            <w:pPr>
              <w:pStyle w:val="15"/>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                                0-4分</w:t>
            </w:r>
          </w:p>
          <w:p w14:paraId="547668FB">
            <w:pPr>
              <w:pStyle w:val="15"/>
              <w:keepNext w:val="0"/>
              <w:keepLines w:val="0"/>
              <w:pageBreakBefore w:val="0"/>
              <w:widowControl w:val="0"/>
              <w:numPr>
                <w:ilvl w:val="0"/>
                <w:numId w:val="16"/>
              </w:numPr>
              <w:tabs>
                <w:tab w:val="left" w:pos="312"/>
              </w:tabs>
              <w:kinsoku/>
              <w:wordWrap/>
              <w:overflowPunct/>
              <w:topLinePunct w:val="0"/>
              <w:autoSpaceDE/>
              <w:autoSpaceDN/>
              <w:bidi w:val="0"/>
              <w:adjustRightInd w:val="0"/>
              <w:snapToGrid w:val="0"/>
              <w:spacing w:line="360" w:lineRule="auto"/>
              <w:ind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参选人</w:t>
            </w:r>
            <w:r>
              <w:rPr>
                <w:rFonts w:hint="eastAsia" w:ascii="宋体" w:hAnsi="宋体" w:eastAsia="宋体" w:cs="宋体"/>
                <w:color w:val="auto"/>
                <w:sz w:val="21"/>
                <w:szCs w:val="21"/>
                <w:highlight w:val="none"/>
              </w:rPr>
              <w:t>与重庆市网络与信息安全信息通报中心签订的《网络与信息安全通报技术支持合作协议》，得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CB53CFB">
            <w:pPr>
              <w:pStyle w:val="15"/>
              <w:keepNext w:val="0"/>
              <w:keepLines w:val="0"/>
              <w:pageBreakBefore w:val="0"/>
              <w:widowControl w:val="0"/>
              <w:numPr>
                <w:ilvl w:val="0"/>
                <w:numId w:val="16"/>
              </w:numPr>
              <w:tabs>
                <w:tab w:val="left" w:pos="312"/>
              </w:tabs>
              <w:kinsoku/>
              <w:wordWrap/>
              <w:overflowPunct/>
              <w:topLinePunct w:val="0"/>
              <w:autoSpaceDE/>
              <w:autoSpaceDN/>
              <w:bidi w:val="0"/>
              <w:adjustRightInd w:val="0"/>
              <w:snapToGrid w:val="0"/>
              <w:spacing w:line="360" w:lineRule="auto"/>
              <w:ind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提供国家或省级数据安全协调机制办公室认定的第三方评估机构或相关国家或部委认可的数据安全服务机构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2分；</w:t>
            </w:r>
          </w:p>
          <w:p w14:paraId="59FBCB3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sz w:val="21"/>
                <w:szCs w:val="21"/>
                <w:highlight w:val="none"/>
                <w:lang w:val="en-US" w:eastAsia="zh-CN"/>
              </w:rPr>
              <w:t>以上</w:t>
            </w:r>
            <w:r>
              <w:rPr>
                <w:rFonts w:hint="eastAsia" w:ascii="宋体" w:hAnsi="宋体" w:eastAsia="宋体" w:cs="宋体"/>
                <w:b/>
                <w:sz w:val="21"/>
                <w:szCs w:val="21"/>
                <w:highlight w:val="none"/>
              </w:rPr>
              <w:t>需提供证明材料并加盖比选参选人单位公章。</w:t>
            </w:r>
          </w:p>
          <w:p w14:paraId="5B269D8F">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参选人有安全服务团队，且安全服务团队人员为本次项目测评人员、当发生突发网络安全公共事件时，能在2小时内派出技术团队到达现场协助处置安全突发事件，得2分；</w:t>
            </w:r>
          </w:p>
          <w:p w14:paraId="3C49C5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sz w:val="21"/>
                <w:szCs w:val="21"/>
                <w:highlight w:val="none"/>
                <w:lang w:val="en-US" w:eastAsia="zh-CN"/>
              </w:rPr>
              <w:t>以上</w:t>
            </w:r>
            <w:r>
              <w:rPr>
                <w:rFonts w:hint="eastAsia" w:ascii="宋体" w:hAnsi="宋体" w:eastAsia="宋体" w:cs="宋体"/>
                <w:b/>
                <w:sz w:val="21"/>
                <w:szCs w:val="21"/>
                <w:highlight w:val="none"/>
              </w:rPr>
              <w:t>需提供书面承诺并加盖比选参选人单位公章。</w:t>
            </w:r>
          </w:p>
          <w:p w14:paraId="0F8DA9EA">
            <w:pPr>
              <w:widowControl w:val="0"/>
              <w:numPr>
                <w:ilvl w:val="0"/>
                <w:numId w:val="15"/>
              </w:num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参选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一次及以上免费</w:t>
            </w:r>
            <w:r>
              <w:rPr>
                <w:rFonts w:hint="eastAsia" w:ascii="宋体" w:hAnsi="宋体" w:eastAsia="宋体" w:cs="宋体"/>
                <w:color w:val="auto"/>
                <w:sz w:val="21"/>
                <w:szCs w:val="21"/>
                <w:highlight w:val="none"/>
                <w:lang w:eastAsia="zh-CN"/>
              </w:rPr>
              <w:t>网络安全培训的，得</w:t>
            </w:r>
            <w:r>
              <w:rPr>
                <w:rFonts w:hint="eastAsia" w:ascii="宋体" w:hAnsi="宋体" w:eastAsia="宋体" w:cs="宋体"/>
                <w:color w:val="auto"/>
                <w:sz w:val="21"/>
                <w:szCs w:val="21"/>
                <w:highlight w:val="none"/>
                <w:lang w:val="en-US" w:eastAsia="zh-CN"/>
              </w:rPr>
              <w:t>2分；</w:t>
            </w:r>
          </w:p>
          <w:p w14:paraId="4050ECE7">
            <w:pPr>
              <w:pStyle w:val="11"/>
              <w:numPr>
                <w:ilvl w:val="0"/>
                <w:numId w:val="15"/>
              </w:numPr>
              <w:spacing w:before="164" w:line="307" w:lineRule="auto"/>
              <w:ind w:left="0" w:leftChars="0" w:right="6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参选人提供三次及以上针对</w:t>
            </w:r>
            <w:r>
              <w:rPr>
                <w:rFonts w:hint="eastAsia" w:ascii="宋体" w:hAnsi="宋体" w:eastAsia="宋体" w:cs="宋体"/>
                <w:color w:val="auto"/>
                <w:kern w:val="2"/>
                <w:sz w:val="21"/>
                <w:szCs w:val="21"/>
                <w:highlight w:val="none"/>
                <w:lang w:val="en-US" w:eastAsia="zh-CN" w:bidi="ar-SA"/>
              </w:rPr>
              <w:t>业主方自有APP或门户网站的</w:t>
            </w:r>
            <w:r>
              <w:rPr>
                <w:rFonts w:hint="eastAsia" w:ascii="宋体" w:hAnsi="宋体" w:eastAsia="宋体" w:cs="宋体"/>
                <w:color w:val="auto"/>
                <w:kern w:val="2"/>
                <w:sz w:val="21"/>
                <w:szCs w:val="21"/>
                <w:highlight w:val="none"/>
                <w:lang w:val="en-US" w:eastAsia="zh-CN" w:bidi="ar-SA"/>
              </w:rPr>
              <w:t>免费安全检测或渗透测试服务，并形成相应的安全检测报告和整改建议的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2分；</w:t>
            </w:r>
          </w:p>
          <w:p w14:paraId="3FABA76D">
            <w:pPr>
              <w:pStyle w:val="11"/>
              <w:numPr>
                <w:ilvl w:val="0"/>
                <w:numId w:val="15"/>
              </w:numPr>
              <w:spacing w:before="164" w:line="307" w:lineRule="auto"/>
              <w:ind w:left="0" w:leftChars="0" w:right="6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参选人提供一次针对业主方的免费红队模拟攻击服务，得1分</w:t>
            </w:r>
          </w:p>
          <w:p w14:paraId="69145BA1">
            <w:pPr>
              <w:pageBreakBefore w:val="0"/>
              <w:tabs>
                <w:tab w:val="left" w:pos="340"/>
              </w:tabs>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zCs w:val="21"/>
                <w:highlight w:val="none"/>
              </w:rPr>
            </w:pPr>
            <w:r>
              <w:rPr>
                <w:rFonts w:hint="eastAsia" w:ascii="宋体" w:hAnsi="宋体" w:eastAsia="宋体" w:cs="宋体"/>
                <w:b/>
                <w:sz w:val="21"/>
                <w:szCs w:val="21"/>
                <w:highlight w:val="none"/>
              </w:rPr>
              <w:t>以上需提供书面承诺并加盖比选参选人单位公章。</w:t>
            </w:r>
          </w:p>
        </w:tc>
      </w:tr>
    </w:tbl>
    <w:p w14:paraId="65E73186">
      <w:pPr>
        <w:pageBreakBefore w:val="0"/>
        <w:kinsoku/>
        <w:wordWrap/>
        <w:overflowPunct/>
        <w:topLinePunct w:val="0"/>
        <w:bidi w:val="0"/>
        <w:adjustRightInd w:val="0"/>
        <w:snapToGrid w:val="0"/>
        <w:spacing w:line="360" w:lineRule="auto"/>
        <w:ind w:left="284"/>
        <w:textAlignment w:val="auto"/>
        <w:outlineLvl w:val="1"/>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三、签约原则</w:t>
      </w:r>
    </w:p>
    <w:p w14:paraId="34B1506F">
      <w:pPr>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评选办法由评选小组根据评选结果，推荐前两名作为中选候选人。将按照比选文件及参选文件首先与第一中选候选人洽谈合约，如不能签订合约则依序与第二中选候选人继续洽谈合约。如仍无法达成合约，则申请重新开展比选。</w:t>
      </w:r>
    </w:p>
    <w:p w14:paraId="62A9771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p w14:paraId="5B340C0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0"/>
          <w:sz w:val="36"/>
          <w:szCs w:val="36"/>
          <w:highlight w:val="none"/>
        </w:rPr>
      </w:pPr>
      <w:bookmarkStart w:id="39" w:name="_Toc536534329"/>
      <w:bookmarkStart w:id="40" w:name="_Toc4735"/>
      <w:bookmarkStart w:id="41" w:name="_Toc20952"/>
      <w:bookmarkStart w:id="42" w:name="_Toc108791960"/>
      <w:bookmarkStart w:id="43" w:name="_Toc107396209"/>
      <w:bookmarkStart w:id="44" w:name="_Toc22482"/>
      <w:bookmarkStart w:id="45" w:name="_Toc26629"/>
      <w:r>
        <w:rPr>
          <w:rFonts w:hint="eastAsia" w:asciiTheme="minorEastAsia" w:hAnsiTheme="minorEastAsia" w:eastAsiaTheme="minorEastAsia" w:cstheme="minorEastAsia"/>
          <w:kern w:val="0"/>
          <w:sz w:val="36"/>
          <w:szCs w:val="36"/>
          <w:highlight w:val="none"/>
        </w:rPr>
        <w:br w:type="page"/>
      </w:r>
    </w:p>
    <w:p w14:paraId="53590100">
      <w:pPr>
        <w:pageBreakBefore w:val="0"/>
        <w:kinsoku/>
        <w:wordWrap/>
        <w:overflowPunct/>
        <w:topLinePunct w:val="0"/>
        <w:autoSpaceDE w:val="0"/>
        <w:autoSpaceDN w:val="0"/>
        <w:bidi w:val="0"/>
        <w:adjustRightInd w:val="0"/>
        <w:snapToGrid w:val="0"/>
        <w:spacing w:after="100" w:afterAutospacing="1" w:line="360" w:lineRule="auto"/>
        <w:jc w:val="center"/>
        <w:textAlignment w:val="auto"/>
        <w:outlineLvl w:val="0"/>
        <w:rPr>
          <w:rFonts w:hint="eastAsia" w:asciiTheme="minorEastAsia" w:hAnsiTheme="minorEastAsia" w:eastAsiaTheme="minorEastAsia" w:cstheme="minorEastAsia"/>
          <w:kern w:val="0"/>
          <w:sz w:val="36"/>
          <w:szCs w:val="36"/>
          <w:highlight w:val="none"/>
        </w:rPr>
      </w:pPr>
      <w:bookmarkStart w:id="46" w:name="_Toc5953"/>
      <w:r>
        <w:rPr>
          <w:rFonts w:hint="eastAsia" w:asciiTheme="minorEastAsia" w:hAnsiTheme="minorEastAsia" w:eastAsiaTheme="minorEastAsia" w:cstheme="minorEastAsia"/>
          <w:kern w:val="0"/>
          <w:sz w:val="36"/>
          <w:szCs w:val="36"/>
          <w:highlight w:val="none"/>
        </w:rPr>
        <w:t>比选参选人须知</w:t>
      </w:r>
      <w:bookmarkEnd w:id="0"/>
      <w:bookmarkEnd w:id="1"/>
      <w:bookmarkEnd w:id="2"/>
      <w:bookmarkEnd w:id="39"/>
      <w:bookmarkEnd w:id="40"/>
      <w:bookmarkEnd w:id="41"/>
      <w:bookmarkEnd w:id="42"/>
      <w:bookmarkEnd w:id="43"/>
      <w:bookmarkEnd w:id="44"/>
      <w:bookmarkEnd w:id="45"/>
      <w:bookmarkEnd w:id="46"/>
      <w:bookmarkStart w:id="47" w:name="_Toc519919814"/>
    </w:p>
    <w:bookmarkEnd w:id="47"/>
    <w:p w14:paraId="4997ABC0">
      <w:pPr>
        <w:pageBreakBefore w:val="0"/>
        <w:kinsoku/>
        <w:wordWrap/>
        <w:overflowPunct/>
        <w:topLinePunct w:val="0"/>
        <w:bidi w:val="0"/>
        <w:adjustRightInd w:val="0"/>
        <w:snapToGrid w:val="0"/>
        <w:spacing w:line="360" w:lineRule="auto"/>
        <w:ind w:left="704" w:hanging="420"/>
        <w:textAlignment w:val="auto"/>
        <w:outlineLvl w:val="1"/>
        <w:rPr>
          <w:rFonts w:hint="eastAsia" w:asciiTheme="minorEastAsia" w:hAnsiTheme="minorEastAsia" w:eastAsiaTheme="minorEastAsia" w:cstheme="minorEastAsia"/>
          <w:b/>
          <w:sz w:val="30"/>
          <w:highlight w:val="none"/>
        </w:rPr>
      </w:pPr>
      <w:r>
        <w:rPr>
          <w:rFonts w:hint="eastAsia" w:asciiTheme="minorEastAsia" w:hAnsiTheme="minorEastAsia" w:eastAsiaTheme="minorEastAsia" w:cstheme="minorEastAsia"/>
          <w:b/>
          <w:sz w:val="28"/>
          <w:highlight w:val="none"/>
        </w:rPr>
        <w:t>1、</w:t>
      </w:r>
      <w:r>
        <w:rPr>
          <w:rFonts w:hint="eastAsia" w:asciiTheme="minorEastAsia" w:hAnsiTheme="minorEastAsia" w:eastAsiaTheme="minorEastAsia" w:cstheme="minorEastAsia"/>
          <w:b/>
          <w:sz w:val="30"/>
          <w:highlight w:val="none"/>
        </w:rPr>
        <w:t>比选参选人</w:t>
      </w:r>
    </w:p>
    <w:p w14:paraId="6CF41DBD">
      <w:pPr>
        <w:pageBreakBefore w:val="0"/>
        <w:kinsoku/>
        <w:wordWrap/>
        <w:overflowPunct/>
        <w:topLinePunct w:val="0"/>
        <w:bidi w:val="0"/>
        <w:adjustRightInd w:val="0"/>
        <w:snapToGrid w:val="0"/>
        <w:spacing w:line="360" w:lineRule="auto"/>
        <w:ind w:left="1799" w:leftChars="228" w:hanging="1320" w:hangingChars="5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1.1、合格比选参选人的范围</w:t>
      </w:r>
    </w:p>
    <w:p w14:paraId="2496703F">
      <w:pPr>
        <w:pageBreakBefore w:val="0"/>
        <w:kinsoku/>
        <w:wordWrap/>
        <w:overflowPunct/>
        <w:topLinePunct w:val="0"/>
        <w:bidi w:val="0"/>
        <w:adjustRightInd w:val="0"/>
        <w:snapToGrid w:val="0"/>
        <w:spacing w:line="360" w:lineRule="auto"/>
        <w:ind w:left="420" w:firstLine="42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比选参选人必须遵守有关的国家法律、法令和条例。</w:t>
      </w:r>
    </w:p>
    <w:p w14:paraId="04222DCC">
      <w:pPr>
        <w:pageBreakBefore w:val="0"/>
        <w:kinsoku/>
        <w:wordWrap/>
        <w:overflowPunct/>
        <w:topLinePunct w:val="0"/>
        <w:bidi w:val="0"/>
        <w:adjustRightInd w:val="0"/>
        <w:snapToGrid w:val="0"/>
        <w:spacing w:line="360" w:lineRule="auto"/>
        <w:ind w:left="1799" w:leftChars="228" w:hanging="1320" w:hangingChars="5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1.2、比选委托</w:t>
      </w:r>
    </w:p>
    <w:p w14:paraId="5EE7F60B">
      <w:pPr>
        <w:pageBreakBefore w:val="0"/>
        <w:kinsoku/>
        <w:wordWrap/>
        <w:overflowPunct/>
        <w:topLinePunct w:val="0"/>
        <w:bidi w:val="0"/>
        <w:adjustRightInd w:val="0"/>
        <w:snapToGrid w:val="0"/>
        <w:spacing w:line="360" w:lineRule="auto"/>
        <w:ind w:left="420" w:firstLine="42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如比选参选人代表不是法定代表人，必须持有《法定代表人授权委托书》。</w:t>
      </w:r>
    </w:p>
    <w:p w14:paraId="019BD736">
      <w:pPr>
        <w:pageBreakBefore w:val="0"/>
        <w:kinsoku/>
        <w:wordWrap/>
        <w:overflowPunct/>
        <w:topLinePunct w:val="0"/>
        <w:bidi w:val="0"/>
        <w:adjustRightInd w:val="0"/>
        <w:snapToGrid w:val="0"/>
        <w:spacing w:line="360" w:lineRule="auto"/>
        <w:ind w:left="1799" w:leftChars="228" w:hanging="1320" w:hangingChars="5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1.3、比选费用</w:t>
      </w:r>
    </w:p>
    <w:p w14:paraId="119C3E60">
      <w:pPr>
        <w:pageBreakBefore w:val="0"/>
        <w:kinsoku/>
        <w:wordWrap/>
        <w:overflowPunct/>
        <w:topLinePunct w:val="0"/>
        <w:bidi w:val="0"/>
        <w:adjustRightInd w:val="0"/>
        <w:snapToGrid w:val="0"/>
        <w:spacing w:line="360" w:lineRule="auto"/>
        <w:ind w:left="420" w:firstLine="420"/>
        <w:textAlignment w:val="auto"/>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24"/>
          <w:highlight w:val="none"/>
        </w:rPr>
        <w:t>无论比选过程中的方式和结果如何，比选参选人自行承担所有参加与比选相关的一切费用。</w:t>
      </w:r>
      <w:bookmarkStart w:id="48" w:name="_Toc519919815"/>
    </w:p>
    <w:p w14:paraId="04931F52">
      <w:pPr>
        <w:pageBreakBefore w:val="0"/>
        <w:kinsoku/>
        <w:wordWrap/>
        <w:overflowPunct/>
        <w:topLinePunct w:val="0"/>
        <w:bidi w:val="0"/>
        <w:adjustRightInd w:val="0"/>
        <w:snapToGrid w:val="0"/>
        <w:spacing w:line="360" w:lineRule="auto"/>
        <w:ind w:left="704" w:hanging="420"/>
        <w:textAlignment w:val="auto"/>
        <w:outlineLvl w:val="1"/>
        <w:rPr>
          <w:rFonts w:hint="eastAsia" w:asciiTheme="minorEastAsia" w:hAnsiTheme="minorEastAsia" w:eastAsiaTheme="minorEastAsia" w:cstheme="minorEastAsia"/>
          <w:b/>
          <w:sz w:val="30"/>
          <w:highlight w:val="none"/>
        </w:rPr>
      </w:pPr>
      <w:r>
        <w:rPr>
          <w:rFonts w:hint="eastAsia" w:asciiTheme="minorEastAsia" w:hAnsiTheme="minorEastAsia" w:eastAsiaTheme="minorEastAsia" w:cstheme="minorEastAsia"/>
          <w:b/>
          <w:sz w:val="28"/>
          <w:highlight w:val="none"/>
        </w:rPr>
        <w:t>2、</w:t>
      </w:r>
      <w:r>
        <w:rPr>
          <w:rFonts w:hint="eastAsia" w:asciiTheme="minorEastAsia" w:hAnsiTheme="minorEastAsia" w:eastAsiaTheme="minorEastAsia" w:cstheme="minorEastAsia"/>
          <w:b/>
          <w:sz w:val="30"/>
          <w:highlight w:val="none"/>
        </w:rPr>
        <w:t>比选参选文件</w:t>
      </w:r>
      <w:bookmarkEnd w:id="48"/>
    </w:p>
    <w:p w14:paraId="512C27E4">
      <w:pPr>
        <w:pageBreakBefore w:val="0"/>
        <w:kinsoku/>
        <w:wordWrap/>
        <w:overflowPunct/>
        <w:topLinePunct w:val="0"/>
        <w:bidi w:val="0"/>
        <w:adjustRightInd w:val="0"/>
        <w:snapToGrid w:val="0"/>
        <w:spacing w:line="360" w:lineRule="auto"/>
        <w:ind w:left="1079" w:leftChars="228" w:hanging="600" w:hangingChars="2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2.1、比选参选人应详细阅读竞争性比选文件的全部内容，不按竞争性比选文件要求提供的比选参选文件和资料，可能导致比选参选被拒绝。</w:t>
      </w:r>
    </w:p>
    <w:p w14:paraId="569A400E">
      <w:pPr>
        <w:pageBreakBefore w:val="0"/>
        <w:kinsoku/>
        <w:wordWrap/>
        <w:overflowPunct/>
        <w:topLinePunct w:val="0"/>
        <w:bidi w:val="0"/>
        <w:adjustRightInd w:val="0"/>
        <w:snapToGrid w:val="0"/>
        <w:spacing w:line="360" w:lineRule="auto"/>
        <w:ind w:left="1079" w:leftChars="228" w:hanging="600" w:hangingChars="2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2.2、凡愿意参</w:t>
      </w:r>
      <w:r>
        <w:rPr>
          <w:rFonts w:hint="eastAsia" w:asciiTheme="minorEastAsia" w:hAnsiTheme="minorEastAsia" w:eastAsiaTheme="minorEastAsia" w:cstheme="minorEastAsia"/>
          <w:sz w:val="24"/>
          <w:highlight w:val="none"/>
        </w:rPr>
        <w:t>加的潜在比选参选人，从</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7</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14</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起至</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7</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16</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，均可在公告发布平台下载比选文件等比选前的有关资料。</w:t>
      </w:r>
    </w:p>
    <w:p w14:paraId="5ED51D3E">
      <w:pPr>
        <w:pageBreakBefore w:val="0"/>
        <w:kinsoku/>
        <w:wordWrap/>
        <w:overflowPunct/>
        <w:topLinePunct w:val="0"/>
        <w:bidi w:val="0"/>
        <w:adjustRightInd w:val="0"/>
        <w:snapToGrid w:val="0"/>
        <w:spacing w:line="360" w:lineRule="auto"/>
        <w:ind w:left="1079" w:leftChars="228" w:hanging="600" w:hangingChars="2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2.3、从本公告发布至</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7</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18</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为</w:t>
      </w:r>
      <w:r>
        <w:rPr>
          <w:rFonts w:hint="eastAsia" w:asciiTheme="minorEastAsia" w:hAnsiTheme="minorEastAsia" w:eastAsiaTheme="minorEastAsia" w:cstheme="minorEastAsia"/>
          <w:sz w:val="24"/>
          <w:highlight w:val="none"/>
        </w:rPr>
        <w:t>提问期，潜在比选参选人可以联系业主方提出疑问，过期不再受理。</w:t>
      </w:r>
    </w:p>
    <w:p w14:paraId="4032E0C7">
      <w:pPr>
        <w:pageBreakBefore w:val="0"/>
        <w:kinsoku/>
        <w:wordWrap/>
        <w:overflowPunct/>
        <w:topLinePunct w:val="0"/>
        <w:bidi w:val="0"/>
        <w:adjustRightInd w:val="0"/>
        <w:snapToGrid w:val="0"/>
        <w:spacing w:line="360" w:lineRule="auto"/>
        <w:ind w:left="1079" w:leftChars="228" w:hanging="600" w:hangingChars="2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2.4、若有相应澄清内容或者业主方认为需要补遗的</w:t>
      </w:r>
      <w:bookmarkStart w:id="69" w:name="_GoBack"/>
      <w:bookmarkEnd w:id="69"/>
      <w:r>
        <w:rPr>
          <w:rFonts w:hint="eastAsia" w:asciiTheme="minorEastAsia" w:hAnsiTheme="minorEastAsia" w:eastAsiaTheme="minorEastAsia" w:cstheme="minorEastAsia"/>
          <w:sz w:val="24"/>
          <w:highlight w:val="none"/>
        </w:rPr>
        <w:t>，业主方将</w:t>
      </w:r>
      <w:r>
        <w:rPr>
          <w:rFonts w:hint="eastAsia" w:asciiTheme="minorEastAsia" w:hAnsiTheme="minorEastAsia" w:eastAsiaTheme="minorEastAsia" w:cstheme="minorEastAsia"/>
          <w:kern w:val="0"/>
          <w:sz w:val="24"/>
          <w:highlight w:val="none"/>
        </w:rPr>
        <w:t>于比选时间前于</w:t>
      </w:r>
      <w:r>
        <w:rPr>
          <w:rFonts w:hint="eastAsia" w:asciiTheme="minorEastAsia" w:hAnsiTheme="minorEastAsia" w:eastAsiaTheme="minorEastAsia" w:cstheme="minorEastAsia"/>
          <w:sz w:val="24"/>
          <w:highlight w:val="none"/>
        </w:rPr>
        <w:t>公告发布平台发布比选补充文件，并同时公告比选时间顺延日期，补充文件将作为竞争性比选文件的组成部分。</w:t>
      </w:r>
    </w:p>
    <w:p w14:paraId="3DD5F527">
      <w:pPr>
        <w:pageBreakBefore w:val="0"/>
        <w:kinsoku/>
        <w:wordWrap/>
        <w:overflowPunct/>
        <w:topLinePunct w:val="0"/>
        <w:bidi w:val="0"/>
        <w:adjustRightInd w:val="0"/>
        <w:snapToGrid w:val="0"/>
        <w:spacing w:line="360" w:lineRule="auto"/>
        <w:ind w:left="704" w:hanging="420"/>
        <w:textAlignment w:val="auto"/>
        <w:outlineLvl w:val="1"/>
        <w:rPr>
          <w:rFonts w:hint="eastAsia" w:asciiTheme="minorEastAsia" w:hAnsiTheme="minorEastAsia" w:eastAsiaTheme="minorEastAsia" w:cstheme="minorEastAsia"/>
          <w:b/>
          <w:sz w:val="30"/>
          <w:highlight w:val="none"/>
        </w:rPr>
      </w:pPr>
      <w:bookmarkStart w:id="49" w:name="_Toc519919816"/>
      <w:r>
        <w:rPr>
          <w:rFonts w:hint="eastAsia" w:asciiTheme="minorEastAsia" w:hAnsiTheme="minorEastAsia" w:eastAsiaTheme="minorEastAsia" w:cstheme="minorEastAsia"/>
          <w:b/>
          <w:sz w:val="28"/>
          <w:highlight w:val="none"/>
        </w:rPr>
        <w:t>3、</w:t>
      </w:r>
      <w:r>
        <w:rPr>
          <w:rFonts w:hint="eastAsia" w:asciiTheme="minorEastAsia" w:hAnsiTheme="minorEastAsia" w:eastAsiaTheme="minorEastAsia" w:cstheme="minorEastAsia"/>
          <w:b/>
          <w:sz w:val="30"/>
          <w:highlight w:val="none"/>
        </w:rPr>
        <w:t>比选参选文件的组成</w:t>
      </w:r>
      <w:bookmarkEnd w:id="49"/>
    </w:p>
    <w:p w14:paraId="158A3F47">
      <w:pPr>
        <w:pageBreakBefore w:val="0"/>
        <w:kinsoku/>
        <w:wordWrap/>
        <w:overflowPunct/>
        <w:topLinePunct w:val="0"/>
        <w:bidi w:val="0"/>
        <w:adjustRightInd w:val="0"/>
        <w:snapToGrid w:val="0"/>
        <w:spacing w:line="360" w:lineRule="auto"/>
        <w:ind w:left="1799" w:leftChars="228" w:hanging="1320" w:hangingChars="5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3.1、比选参选文件应包括比选参选书和资格证明文件。</w:t>
      </w:r>
    </w:p>
    <w:p w14:paraId="44E8ECEE">
      <w:pPr>
        <w:pageBreakBefore w:val="0"/>
        <w:kinsoku/>
        <w:wordWrap/>
        <w:overflowPunct/>
        <w:topLinePunct w:val="0"/>
        <w:bidi w:val="0"/>
        <w:adjustRightInd w:val="0"/>
        <w:snapToGrid w:val="0"/>
        <w:spacing w:line="360" w:lineRule="auto"/>
        <w:ind w:firstLine="1080" w:firstLineChars="4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3.1.1、比选参选书（按业主方提供的统一格式）：</w:t>
      </w:r>
    </w:p>
    <w:p w14:paraId="441BB49E">
      <w:pPr>
        <w:pageBreakBefore w:val="0"/>
        <w:kinsoku/>
        <w:wordWrap/>
        <w:overflowPunct/>
        <w:topLinePunct w:val="0"/>
        <w:bidi w:val="0"/>
        <w:adjustRightInd w:val="0"/>
        <w:snapToGrid w:val="0"/>
        <w:spacing w:line="360" w:lineRule="auto"/>
        <w:ind w:firstLine="1920" w:firstLineChars="8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3.1.1.1、比选参选一览表（</w:t>
      </w:r>
      <w:r>
        <w:rPr>
          <w:rFonts w:hint="eastAsia" w:asciiTheme="minorEastAsia" w:hAnsiTheme="minorEastAsia" w:eastAsiaTheme="minorEastAsia" w:cstheme="minorEastAsia"/>
          <w:b/>
          <w:sz w:val="24"/>
          <w:highlight w:val="none"/>
        </w:rPr>
        <w:t>统一格式）</w:t>
      </w:r>
    </w:p>
    <w:p w14:paraId="5A649103">
      <w:pPr>
        <w:pageBreakBefore w:val="0"/>
        <w:kinsoku/>
        <w:wordWrap/>
        <w:overflowPunct/>
        <w:topLinePunct w:val="0"/>
        <w:bidi w:val="0"/>
        <w:adjustRightInd w:val="0"/>
        <w:snapToGrid w:val="0"/>
        <w:spacing w:line="360" w:lineRule="auto"/>
        <w:ind w:left="1810" w:leftChars="862" w:firstLine="120" w:firstLineChars="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3.1.1.2、比选参选说明：比选参选人自行编写，一般应包括</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比选参选内容说明、技术服务、售后服务等，以及比选</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参选人认为需说明的其它内容。</w:t>
      </w:r>
    </w:p>
    <w:p w14:paraId="593D6599">
      <w:pPr>
        <w:pageBreakBefore w:val="0"/>
        <w:kinsoku/>
        <w:wordWrap/>
        <w:overflowPunct/>
        <w:topLinePunct w:val="0"/>
        <w:bidi w:val="0"/>
        <w:adjustRightInd w:val="0"/>
        <w:snapToGrid w:val="0"/>
        <w:spacing w:line="360" w:lineRule="auto"/>
        <w:ind w:firstLine="1080" w:firstLineChars="4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3.1.2、资格证明文件：</w:t>
      </w:r>
    </w:p>
    <w:p w14:paraId="6EEE24F8">
      <w:pPr>
        <w:pageBreakBefore w:val="0"/>
        <w:kinsoku/>
        <w:wordWrap/>
        <w:overflowPunct/>
        <w:topLinePunct w:val="0"/>
        <w:bidi w:val="0"/>
        <w:adjustRightInd w:val="0"/>
        <w:snapToGrid w:val="0"/>
        <w:spacing w:line="360" w:lineRule="auto"/>
        <w:ind w:firstLine="1920" w:firstLineChars="8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3.1.2.1、具有独立承担民事责任的能力（提供法人或者其他</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组织的营业执照，自然人的身份证明）</w:t>
      </w:r>
    </w:p>
    <w:p w14:paraId="0E0D809F">
      <w:pPr>
        <w:pageBreakBefore w:val="0"/>
        <w:kinsoku/>
        <w:wordWrap/>
        <w:overflowPunct/>
        <w:topLinePunct w:val="0"/>
        <w:bidi w:val="0"/>
        <w:adjustRightInd w:val="0"/>
        <w:snapToGrid w:val="0"/>
        <w:spacing w:line="360" w:lineRule="auto"/>
        <w:ind w:firstLine="1920" w:firstLineChars="800"/>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3.1.2.2、法定代表人授权委托书</w:t>
      </w:r>
      <w:r>
        <w:rPr>
          <w:rFonts w:hint="eastAsia" w:asciiTheme="minorEastAsia" w:hAnsiTheme="minorEastAsia" w:eastAsiaTheme="minorEastAsia" w:cstheme="minorEastAsia"/>
          <w:b w:val="0"/>
          <w:bCs/>
          <w:sz w:val="24"/>
          <w:highlight w:val="none"/>
        </w:rPr>
        <w:t>（</w:t>
      </w:r>
      <w:r>
        <w:rPr>
          <w:rFonts w:hint="eastAsia" w:asciiTheme="minorEastAsia" w:hAnsiTheme="minorEastAsia" w:eastAsiaTheme="minorEastAsia" w:cstheme="minorEastAsia"/>
          <w:b/>
          <w:bCs w:val="0"/>
          <w:sz w:val="24"/>
          <w:highlight w:val="none"/>
        </w:rPr>
        <w:t>统一格式</w:t>
      </w:r>
      <w:r>
        <w:rPr>
          <w:rFonts w:hint="eastAsia" w:asciiTheme="minorEastAsia" w:hAnsiTheme="minorEastAsia" w:eastAsiaTheme="minorEastAsia" w:cstheme="minorEastAsia"/>
          <w:b w:val="0"/>
          <w:bCs/>
          <w:sz w:val="24"/>
          <w:highlight w:val="none"/>
        </w:rPr>
        <w:t>）</w:t>
      </w:r>
    </w:p>
    <w:p w14:paraId="348D9D5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3.1.2.3、参加本次比选前三年内，在经营活动中没有重大违</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法记录（提供声明函加盖比选参选人公章）</w:t>
      </w:r>
    </w:p>
    <w:p w14:paraId="21B918F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3.1.2.4、有依法缴纳税收和社会保障资金的良好记录（提供</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证明文件加盖比选参选人公章）</w:t>
      </w:r>
    </w:p>
    <w:p w14:paraId="019C6226">
      <w:pPr>
        <w:pageBreakBefore w:val="0"/>
        <w:kinsoku/>
        <w:wordWrap/>
        <w:overflowPunct/>
        <w:topLinePunct w:val="0"/>
        <w:bidi w:val="0"/>
        <w:adjustRightInd w:val="0"/>
        <w:snapToGrid w:val="0"/>
        <w:spacing w:line="360" w:lineRule="auto"/>
        <w:ind w:left="2999" w:leftChars="228" w:hanging="2520" w:hangingChars="105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3.1.2.5、具有履行合同所必需的设备和专业技术能力（需提供承诺书加盖比选参选人公章）</w:t>
      </w:r>
    </w:p>
    <w:p w14:paraId="52DA6100">
      <w:pPr>
        <w:pageBreakBefore w:val="0"/>
        <w:kinsoku/>
        <w:wordWrap/>
        <w:overflowPunct/>
        <w:topLinePunct w:val="0"/>
        <w:bidi w:val="0"/>
        <w:adjustRightInd w:val="0"/>
        <w:snapToGrid w:val="0"/>
        <w:spacing w:line="360" w:lineRule="auto"/>
        <w:ind w:left="2995" w:leftChars="912" w:hanging="1080" w:hangingChars="45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3.1.2.6、参选人股东非集团员工及配偶、员工子女及其配偶（提供承诺书加盖公章）</w:t>
      </w:r>
    </w:p>
    <w:p w14:paraId="2F34C580">
      <w:pPr>
        <w:pageBreakBefore w:val="0"/>
        <w:kinsoku/>
        <w:wordWrap/>
        <w:overflowPunct/>
        <w:topLinePunct w:val="0"/>
        <w:bidi w:val="0"/>
        <w:adjustRightInd w:val="0"/>
        <w:snapToGrid w:val="0"/>
        <w:spacing w:line="360" w:lineRule="auto"/>
        <w:ind w:left="2995" w:leftChars="912" w:hanging="1080" w:hangingChars="45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3.1.2.7、单位负责人为同一人或者存在直接控股、管理关系的不同比选方，不得参加同一合同项（分包）下的比选活动，否则均为无效（提供承诺书加盖比选参选人公章）</w:t>
      </w:r>
    </w:p>
    <w:p w14:paraId="0C90DC08">
      <w:pPr>
        <w:pageBreakBefore w:val="0"/>
        <w:kinsoku/>
        <w:wordWrap/>
        <w:overflowPunct/>
        <w:topLinePunct w:val="0"/>
        <w:bidi w:val="0"/>
        <w:adjustRightInd w:val="0"/>
        <w:snapToGrid w:val="0"/>
        <w:spacing w:line="360" w:lineRule="auto"/>
        <w:ind w:firstLine="1920" w:firstLineChars="8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、诚信声明（需提供承诺书加盖公章）</w:t>
      </w:r>
    </w:p>
    <w:p w14:paraId="2DA83E64">
      <w:pPr>
        <w:pageBreakBefore w:val="0"/>
        <w:kinsoku/>
        <w:wordWrap/>
        <w:overflowPunct/>
        <w:topLinePunct w:val="0"/>
        <w:bidi w:val="0"/>
        <w:adjustRightInd w:val="0"/>
        <w:snapToGrid w:val="0"/>
        <w:spacing w:line="360" w:lineRule="auto"/>
        <w:ind w:left="3115" w:leftChars="912" w:hanging="1200" w:hangingChars="500"/>
        <w:textAlignment w:val="auto"/>
        <w:rPr>
          <w:rFonts w:hint="eastAsia" w:ascii="宋体" w:hAnsi="宋体" w:eastAsia="宋体" w:cs="宋体"/>
          <w:sz w:val="24"/>
          <w:szCs w:val="24"/>
          <w:highlight w:val="none"/>
        </w:rPr>
      </w:pPr>
      <w:r>
        <w:rPr>
          <w:rFonts w:hint="eastAsia" w:asciiTheme="minorEastAsia" w:hAnsiTheme="minorEastAsia" w:eastAsiaTheme="minorEastAsia" w:cstheme="minorEastAsia"/>
          <w:sz w:val="24"/>
          <w:highlight w:val="none"/>
          <w:lang w:val="en-US" w:eastAsia="zh-CN"/>
        </w:rPr>
        <w:t>3.1.2.9、</w:t>
      </w:r>
      <w:r>
        <w:rPr>
          <w:rFonts w:hint="eastAsia" w:ascii="宋体" w:hAnsi="宋体" w:eastAsia="宋体" w:cs="宋体"/>
          <w:sz w:val="24"/>
          <w:szCs w:val="24"/>
          <w:highlight w:val="none"/>
        </w:rPr>
        <w:t>参选人须具有公安部第三研究所颁发的网络安全等级测评与检测评估机构服务认证证书（提供网络安全等级保护测评机构推荐证书复印件并加盖</w:t>
      </w:r>
      <w:r>
        <w:rPr>
          <w:rFonts w:hint="eastAsia" w:ascii="宋体" w:hAnsi="宋体" w:eastAsia="宋体" w:cs="宋体"/>
          <w:b/>
          <w:sz w:val="24"/>
          <w:szCs w:val="24"/>
          <w:highlight w:val="none"/>
        </w:rPr>
        <w:t>比选参选人单位公章</w:t>
      </w:r>
      <w:r>
        <w:rPr>
          <w:rFonts w:hint="eastAsia" w:ascii="宋体" w:hAnsi="宋体" w:eastAsia="宋体" w:cs="宋体"/>
          <w:sz w:val="24"/>
          <w:szCs w:val="24"/>
          <w:highlight w:val="none"/>
        </w:rPr>
        <w:t>）</w:t>
      </w:r>
    </w:p>
    <w:p w14:paraId="648B0F79">
      <w:pPr>
        <w:pageBreakBefore w:val="0"/>
        <w:kinsoku/>
        <w:wordWrap/>
        <w:overflowPunct/>
        <w:topLinePunct w:val="0"/>
        <w:bidi w:val="0"/>
        <w:adjustRightInd w:val="0"/>
        <w:snapToGrid w:val="0"/>
        <w:spacing w:line="360" w:lineRule="auto"/>
        <w:ind w:left="3115" w:leftChars="912" w:hanging="1200" w:hangingChars="5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3.1.2.10、</w:t>
      </w:r>
      <w:r>
        <w:rPr>
          <w:rFonts w:hint="eastAsia" w:ascii="宋体" w:hAnsi="宋体" w:eastAsia="宋体" w:cs="宋体"/>
          <w:sz w:val="24"/>
          <w:szCs w:val="24"/>
          <w:highlight w:val="none"/>
        </w:rPr>
        <w:t>参选人须具备中国合格评定国家认可委员会颁发的检验机构认可证书（CNAS），认可的检验能力范围为“信息系统安全等级保护”或“网络安全等级测评”。（提供检验机构认可证书(需包含检验能力范围页）复印件并加盖</w:t>
      </w:r>
      <w:r>
        <w:rPr>
          <w:rFonts w:hint="eastAsia" w:ascii="宋体" w:hAnsi="宋体" w:eastAsia="宋体" w:cs="宋体"/>
          <w:b/>
          <w:sz w:val="24"/>
          <w:szCs w:val="24"/>
          <w:highlight w:val="none"/>
        </w:rPr>
        <w:t>比选参选人单位公章</w:t>
      </w:r>
      <w:r>
        <w:rPr>
          <w:rFonts w:hint="eastAsia" w:ascii="宋体" w:hAnsi="宋体" w:eastAsia="宋体" w:cs="宋体"/>
          <w:sz w:val="24"/>
          <w:szCs w:val="24"/>
          <w:highlight w:val="none"/>
        </w:rPr>
        <w:t>）</w:t>
      </w:r>
    </w:p>
    <w:p w14:paraId="4703F1F4">
      <w:pPr>
        <w:pageBreakBefore w:val="0"/>
        <w:kinsoku/>
        <w:wordWrap/>
        <w:overflowPunct/>
        <w:topLinePunct w:val="0"/>
        <w:bidi w:val="0"/>
        <w:adjustRightInd w:val="0"/>
        <w:snapToGrid w:val="0"/>
        <w:spacing w:line="360" w:lineRule="auto"/>
        <w:ind w:firstLine="1080" w:firstLineChars="4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3.1.3、书面承诺（发票开具和售后质保）</w:t>
      </w:r>
      <w:r>
        <w:rPr>
          <w:rFonts w:hint="eastAsia" w:asciiTheme="minorEastAsia" w:hAnsiTheme="minorEastAsia" w:eastAsiaTheme="minorEastAsia" w:cstheme="minorEastAsia"/>
          <w:b/>
          <w:bCs/>
          <w:sz w:val="24"/>
          <w:highlight w:val="none"/>
        </w:rPr>
        <w:t>（加盖比选参选人单位公章）</w:t>
      </w:r>
    </w:p>
    <w:p w14:paraId="1F298BE8">
      <w:pPr>
        <w:pageBreakBefore w:val="0"/>
        <w:kinsoku/>
        <w:wordWrap/>
        <w:overflowPunct/>
        <w:topLinePunct w:val="0"/>
        <w:bidi w:val="0"/>
        <w:adjustRightInd w:val="0"/>
        <w:snapToGrid w:val="0"/>
        <w:spacing w:line="360" w:lineRule="auto"/>
        <w:ind w:left="899" w:leftChars="428" w:firstLine="1020" w:firstLineChars="42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3.1.3.1、比选参选人须对比选参选内容开具增值税专用发票</w:t>
      </w:r>
    </w:p>
    <w:p w14:paraId="4C112A57">
      <w:pPr>
        <w:pageBreakBefore w:val="0"/>
        <w:kinsoku/>
        <w:wordWrap/>
        <w:overflowPunct/>
        <w:topLinePunct w:val="0"/>
        <w:bidi w:val="0"/>
        <w:adjustRightInd w:val="0"/>
        <w:snapToGrid w:val="0"/>
        <w:spacing w:line="360" w:lineRule="auto"/>
        <w:ind w:firstLine="1920" w:firstLineChars="8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3.1.3.2、比选参选人须提供对</w:t>
      </w:r>
      <w:r>
        <w:rPr>
          <w:rFonts w:hint="eastAsia" w:asciiTheme="minorEastAsia" w:hAnsiTheme="minorEastAsia" w:eastAsiaTheme="minorEastAsia" w:cstheme="minorEastAsia"/>
          <w:b/>
          <w:bCs/>
          <w:sz w:val="24"/>
          <w:highlight w:val="none"/>
          <w:u w:val="single"/>
        </w:rPr>
        <w:t>竞争性比选项目要求</w:t>
      </w:r>
      <w:r>
        <w:rPr>
          <w:rFonts w:hint="eastAsia" w:asciiTheme="minorEastAsia" w:hAnsiTheme="minorEastAsia" w:eastAsiaTheme="minorEastAsia" w:cstheme="minorEastAsia"/>
          <w:sz w:val="24"/>
          <w:highlight w:val="none"/>
        </w:rPr>
        <w:t>中要求</w:t>
      </w:r>
      <w:r>
        <w:rPr>
          <w:rFonts w:hint="eastAsia" w:asciiTheme="minorEastAsia" w:hAnsiTheme="minorEastAsia" w:eastAsiaTheme="minorEastAsia" w:cstheme="minorEastAsia"/>
          <w:sz w:val="24"/>
          <w:highlight w:val="none"/>
          <w:lang w:val="en-US" w:eastAsia="zh-CN"/>
        </w:rPr>
        <w:t>的</w:t>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承诺</w:t>
      </w:r>
    </w:p>
    <w:p w14:paraId="677671E4">
      <w:pPr>
        <w:pageBreakBefore w:val="0"/>
        <w:kinsoku/>
        <w:wordWrap/>
        <w:overflowPunct/>
        <w:topLinePunct w:val="0"/>
        <w:bidi w:val="0"/>
        <w:adjustRightInd w:val="0"/>
        <w:snapToGrid w:val="0"/>
        <w:spacing w:line="360" w:lineRule="auto"/>
        <w:ind w:left="1799" w:leftChars="228" w:hanging="1320" w:hangingChars="5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3.2、比选参选报价</w:t>
      </w:r>
    </w:p>
    <w:p w14:paraId="268E347F">
      <w:pPr>
        <w:pageBreakBefore w:val="0"/>
        <w:kinsoku/>
        <w:wordWrap/>
        <w:overflowPunct/>
        <w:topLinePunct w:val="0"/>
        <w:bidi w:val="0"/>
        <w:adjustRightInd w:val="0"/>
        <w:snapToGrid w:val="0"/>
        <w:spacing w:line="360" w:lineRule="auto"/>
        <w:ind w:firstLine="1080" w:firstLineChars="4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3.2.1、所有比选应以人民币报价。</w:t>
      </w:r>
    </w:p>
    <w:p w14:paraId="2EA75F67">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3.2.2、</w:t>
      </w:r>
      <w:r>
        <w:rPr>
          <w:rFonts w:hint="eastAsia" w:asciiTheme="minorEastAsia" w:hAnsiTheme="minorEastAsia" w:eastAsiaTheme="minorEastAsia" w:cstheme="minorEastAsia"/>
          <w:b/>
          <w:sz w:val="24"/>
          <w:highlight w:val="none"/>
        </w:rPr>
        <w:t>只允许有一个报价。</w:t>
      </w:r>
    </w:p>
    <w:p w14:paraId="36393B34">
      <w:pPr>
        <w:pageBreakBefore w:val="0"/>
        <w:kinsoku/>
        <w:wordWrap/>
        <w:overflowPunct/>
        <w:topLinePunct w:val="0"/>
        <w:bidi w:val="0"/>
        <w:adjustRightInd w:val="0"/>
        <w:snapToGrid w:val="0"/>
        <w:spacing w:line="360" w:lineRule="auto"/>
        <w:ind w:left="1799" w:leftChars="228" w:hanging="1320" w:hangingChars="5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3.3、比选参选文件的签署及规定</w:t>
      </w:r>
    </w:p>
    <w:p w14:paraId="6B74C4A2">
      <w:pPr>
        <w:pageBreakBefore w:val="0"/>
        <w:kinsoku/>
        <w:wordWrap/>
        <w:overflowPunct/>
        <w:topLinePunct w:val="0"/>
        <w:bidi w:val="0"/>
        <w:adjustRightInd w:val="0"/>
        <w:snapToGrid w:val="0"/>
        <w:spacing w:line="360" w:lineRule="auto"/>
        <w:ind w:firstLine="1080" w:firstLineChars="4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3.3.1、比选参选文件应正规打印，且不得涂改。</w:t>
      </w:r>
    </w:p>
    <w:p w14:paraId="0B44E7D6">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比选参选文件必须由法定代表人或法定代表人指定的授权人签署。</w:t>
      </w:r>
    </w:p>
    <w:p w14:paraId="24BDC47E">
      <w:pPr>
        <w:pageBreakBefore w:val="0"/>
        <w:kinsoku/>
        <w:wordWrap/>
        <w:overflowPunct/>
        <w:topLinePunct w:val="0"/>
        <w:bidi w:val="0"/>
        <w:adjustRightInd w:val="0"/>
        <w:snapToGrid w:val="0"/>
        <w:spacing w:line="360" w:lineRule="auto"/>
        <w:ind w:firstLine="1080" w:firstLineChars="45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3.3.3、比选参选人应填写全称，同时加盖比选参选人印章。</w:t>
      </w:r>
    </w:p>
    <w:p w14:paraId="2BFBF4A9">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3.3.4、比选参选人应提供正本一份，副本二份，并明确标明“比选参选文件正本”和“比选参选文件副本”。比选参选文件正本和副本如有不一致之处，以正本为准。</w:t>
      </w:r>
      <w:r>
        <w:rPr>
          <w:rFonts w:hint="eastAsia" w:asciiTheme="minorEastAsia" w:hAnsiTheme="minorEastAsia" w:eastAsiaTheme="minorEastAsia" w:cstheme="minorEastAsia"/>
          <w:b/>
          <w:bCs/>
          <w:sz w:val="24"/>
          <w:highlight w:val="none"/>
        </w:rPr>
        <w:t>电子版（U盘）一份（与比选参选文件统一封装）</w:t>
      </w:r>
      <w:r>
        <w:rPr>
          <w:rFonts w:hint="eastAsia" w:asciiTheme="minorEastAsia" w:hAnsiTheme="minorEastAsia" w:eastAsiaTheme="minorEastAsia" w:cstheme="minorEastAsia"/>
          <w:sz w:val="24"/>
          <w:highlight w:val="none"/>
        </w:rPr>
        <w:t>。</w:t>
      </w:r>
      <w:bookmarkStart w:id="50" w:name="_Toc519919817"/>
    </w:p>
    <w:bookmarkEnd w:id="50"/>
    <w:p w14:paraId="35F52E82">
      <w:pPr>
        <w:pageBreakBefore w:val="0"/>
        <w:kinsoku/>
        <w:wordWrap/>
        <w:overflowPunct/>
        <w:topLinePunct w:val="0"/>
        <w:bidi w:val="0"/>
        <w:adjustRightInd w:val="0"/>
        <w:snapToGrid w:val="0"/>
        <w:spacing w:line="360" w:lineRule="auto"/>
        <w:ind w:left="704" w:hanging="420"/>
        <w:textAlignment w:val="auto"/>
        <w:outlineLvl w:val="1"/>
        <w:rPr>
          <w:rFonts w:hint="eastAsia" w:asciiTheme="minorEastAsia" w:hAnsiTheme="minorEastAsia" w:eastAsiaTheme="minorEastAsia" w:cstheme="minorEastAsia"/>
          <w:b/>
          <w:sz w:val="30"/>
          <w:highlight w:val="none"/>
        </w:rPr>
      </w:pPr>
      <w:r>
        <w:rPr>
          <w:rFonts w:hint="eastAsia" w:asciiTheme="minorEastAsia" w:hAnsiTheme="minorEastAsia" w:eastAsiaTheme="minorEastAsia" w:cstheme="minorEastAsia"/>
          <w:b/>
          <w:sz w:val="28"/>
          <w:highlight w:val="none"/>
        </w:rPr>
        <w:t>4、</w:t>
      </w:r>
      <w:r>
        <w:rPr>
          <w:rFonts w:hint="eastAsia" w:asciiTheme="minorEastAsia" w:hAnsiTheme="minorEastAsia" w:eastAsiaTheme="minorEastAsia" w:cstheme="minorEastAsia"/>
          <w:b/>
          <w:sz w:val="30"/>
          <w:highlight w:val="none"/>
        </w:rPr>
        <w:t>比选参选文件的递交</w:t>
      </w:r>
    </w:p>
    <w:p w14:paraId="2A436650">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4.1、密封与标记</w:t>
      </w:r>
    </w:p>
    <w:p w14:paraId="45F6F7F2">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4.1.1、比选参选文件应装在密封袋内。封口处应有比选参选人鲜章。封皮上写明竞争性比选项目名称、比选参选人名称，并注明“比选时启封”字样。</w:t>
      </w:r>
    </w:p>
    <w:p w14:paraId="34A8B7A1">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4.1.2、比选参选文件和资格证明文件包装完好，封皮上写明比选参选人名称。</w:t>
      </w:r>
    </w:p>
    <w:p w14:paraId="4639B310">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4.1.3、比选参选人未按上述要求密封及加写标记，比选人提前启封概不负责。</w:t>
      </w:r>
    </w:p>
    <w:p w14:paraId="242FFF89">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4.2、比选时间</w:t>
      </w:r>
    </w:p>
    <w:p w14:paraId="318964DB">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4.2.1、</w:t>
      </w:r>
      <w:r>
        <w:rPr>
          <w:rFonts w:hint="eastAsia" w:asciiTheme="minorEastAsia" w:hAnsiTheme="minorEastAsia" w:eastAsiaTheme="minorEastAsia" w:cstheme="minorEastAsia"/>
          <w:b/>
          <w:sz w:val="24"/>
          <w:highlight w:val="none"/>
        </w:rPr>
        <w:t>比选参选文件必须在比选时间前送达指定的比选地点接收</w:t>
      </w:r>
      <w:r>
        <w:rPr>
          <w:rFonts w:hint="eastAsia" w:asciiTheme="minorEastAsia" w:hAnsiTheme="minorEastAsia" w:eastAsiaTheme="minorEastAsia" w:cstheme="minorEastAsia"/>
          <w:sz w:val="24"/>
          <w:highlight w:val="none"/>
        </w:rPr>
        <w:t>，逾期送达，或未送达指定地点，或未密封的参选文件，业主方不予受理。</w:t>
      </w:r>
    </w:p>
    <w:p w14:paraId="2285E979">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24"/>
          <w:highlight w:val="none"/>
        </w:rPr>
        <w:t>4.2.2、业主方对比选参选文件在邮寄或送达过程中的遗失或损坏不负责任。</w:t>
      </w:r>
      <w:bookmarkStart w:id="51" w:name="_Toc519919818"/>
    </w:p>
    <w:p w14:paraId="4C79210B">
      <w:pPr>
        <w:pageBreakBefore w:val="0"/>
        <w:kinsoku/>
        <w:wordWrap/>
        <w:overflowPunct/>
        <w:topLinePunct w:val="0"/>
        <w:bidi w:val="0"/>
        <w:adjustRightInd w:val="0"/>
        <w:snapToGrid w:val="0"/>
        <w:spacing w:line="360" w:lineRule="auto"/>
        <w:ind w:left="704" w:hanging="420"/>
        <w:textAlignment w:val="auto"/>
        <w:outlineLvl w:val="1"/>
        <w:rPr>
          <w:rFonts w:hint="eastAsia" w:asciiTheme="minorEastAsia" w:hAnsiTheme="minorEastAsia" w:eastAsiaTheme="minorEastAsia" w:cstheme="minorEastAsia"/>
          <w:b/>
          <w:sz w:val="30"/>
          <w:highlight w:val="none"/>
        </w:rPr>
      </w:pPr>
      <w:r>
        <w:rPr>
          <w:rFonts w:hint="eastAsia" w:asciiTheme="minorEastAsia" w:hAnsiTheme="minorEastAsia" w:eastAsiaTheme="minorEastAsia" w:cstheme="minorEastAsia"/>
          <w:b/>
          <w:sz w:val="28"/>
          <w:highlight w:val="none"/>
        </w:rPr>
        <w:t>5、</w:t>
      </w:r>
      <w:r>
        <w:rPr>
          <w:rFonts w:hint="eastAsia" w:asciiTheme="minorEastAsia" w:hAnsiTheme="minorEastAsia" w:eastAsiaTheme="minorEastAsia" w:cstheme="minorEastAsia"/>
          <w:b/>
          <w:sz w:val="30"/>
          <w:highlight w:val="none"/>
        </w:rPr>
        <w:t>比选、评选与中选</w:t>
      </w:r>
      <w:bookmarkEnd w:id="51"/>
    </w:p>
    <w:p w14:paraId="219FA1AC">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5.1、比选</w:t>
      </w:r>
    </w:p>
    <w:p w14:paraId="2FD41D19">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5.1.1、业主方按竞争性比选文件规定的时间主持比选。</w:t>
      </w:r>
      <w:r>
        <w:rPr>
          <w:rFonts w:hint="eastAsia" w:asciiTheme="minorEastAsia" w:hAnsiTheme="minorEastAsia" w:eastAsiaTheme="minorEastAsia" w:cstheme="minorEastAsia"/>
          <w:b/>
          <w:bCs/>
          <w:sz w:val="24"/>
          <w:highlight w:val="none"/>
        </w:rPr>
        <w:t>比选参选人不到场，由业主方组织评选小组、监督人员比选，在此期间</w:t>
      </w:r>
      <w:r>
        <w:rPr>
          <w:rFonts w:hint="eastAsia" w:asciiTheme="minorEastAsia" w:hAnsiTheme="minorEastAsia" w:eastAsiaTheme="minorEastAsia" w:cstheme="minorEastAsia"/>
          <w:b/>
          <w:bCs/>
          <w:sz w:val="24"/>
          <w:szCs w:val="20"/>
          <w:highlight w:val="none"/>
        </w:rPr>
        <w:t>比选参选人</w:t>
      </w:r>
      <w:r>
        <w:rPr>
          <w:rFonts w:hint="eastAsia" w:asciiTheme="minorEastAsia" w:hAnsiTheme="minorEastAsia" w:eastAsiaTheme="minorEastAsia" w:cstheme="minorEastAsia"/>
          <w:b/>
          <w:bCs/>
          <w:sz w:val="24"/>
          <w:highlight w:val="none"/>
        </w:rPr>
        <w:t>应保持通信畅通。</w:t>
      </w:r>
    </w:p>
    <w:p w14:paraId="589F269C">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5.1.2、比选时查验比选参选文件密封情况，确认无误后拆封。</w:t>
      </w:r>
    </w:p>
    <w:p w14:paraId="5DC3CD70">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5.1.3、业主方在比选仪式上，将公布比选参选人的名称、比选名称、比选价格、交付期等，业主方将作记录</w:t>
      </w:r>
      <w:r>
        <w:rPr>
          <w:rFonts w:hint="eastAsia" w:asciiTheme="minorEastAsia" w:hAnsiTheme="minorEastAsia" w:eastAsiaTheme="minorEastAsia" w:cstheme="minorEastAsia"/>
          <w:b/>
          <w:bCs/>
          <w:sz w:val="24"/>
          <w:highlight w:val="none"/>
        </w:rPr>
        <w:t>（由评选小组、监督人员签字确认相关评审记录）</w:t>
      </w:r>
      <w:r>
        <w:rPr>
          <w:rFonts w:hint="eastAsia" w:asciiTheme="minorEastAsia" w:hAnsiTheme="minorEastAsia" w:eastAsiaTheme="minorEastAsia" w:cstheme="minorEastAsia"/>
          <w:sz w:val="24"/>
          <w:highlight w:val="none"/>
        </w:rPr>
        <w:t>。</w:t>
      </w:r>
    </w:p>
    <w:p w14:paraId="57142B38">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5.1.4、一旦比选，各比选参选人的比选参选文件中所体现的比选价格等原则事项和实质内容不得修改，以确保比选的公正。</w:t>
      </w:r>
    </w:p>
    <w:p w14:paraId="5FF94B14">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5.2、对竞争性比选参选文件的初审</w:t>
      </w:r>
    </w:p>
    <w:p w14:paraId="524E470A">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5.2.1、初审内容为比选参选文件是否符合竞争性比选文件的要求，内容是否完整，价格构成有无计算错误，文件签署是否齐全等。与竞争性比选文件有重大偏离的比选参选文件将被拒绝。</w:t>
      </w:r>
    </w:p>
    <w:p w14:paraId="13396F97">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5.2.2、如有价格计算错误，将按以下原则修正：</w:t>
      </w:r>
    </w:p>
    <w:p w14:paraId="312C706E">
      <w:pPr>
        <w:pageBreakBefore w:val="0"/>
        <w:kinsoku/>
        <w:wordWrap/>
        <w:overflowPunct/>
        <w:topLinePunct w:val="0"/>
        <w:bidi w:val="0"/>
        <w:adjustRightInd w:val="0"/>
        <w:snapToGrid w:val="0"/>
        <w:spacing w:line="360" w:lineRule="auto"/>
        <w:ind w:left="3059" w:leftChars="912"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5.2.2.1、如果单价乘数量不等于总价，应以单价为准修正总价。</w:t>
      </w:r>
    </w:p>
    <w:p w14:paraId="296471D4">
      <w:pPr>
        <w:pageBreakBefore w:val="0"/>
        <w:kinsoku/>
        <w:wordWrap/>
        <w:overflowPunct/>
        <w:topLinePunct w:val="0"/>
        <w:bidi w:val="0"/>
        <w:adjustRightInd w:val="0"/>
        <w:snapToGrid w:val="0"/>
        <w:spacing w:line="360" w:lineRule="auto"/>
        <w:ind w:left="3057" w:leftChars="911"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5.2.2.2、如果以文字表示的数据与数字表示的有差别，应以文字为准修正数字。</w:t>
      </w:r>
    </w:p>
    <w:p w14:paraId="6FAFCC02">
      <w:pPr>
        <w:pageBreakBefore w:val="0"/>
        <w:kinsoku/>
        <w:wordWrap/>
        <w:overflowPunct/>
        <w:topLinePunct w:val="0"/>
        <w:bidi w:val="0"/>
        <w:adjustRightInd w:val="0"/>
        <w:snapToGrid w:val="0"/>
        <w:spacing w:line="360" w:lineRule="auto"/>
        <w:ind w:left="3057" w:leftChars="911"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5.2.2.3、比选参选人不同意以上修正，则其比选参选将被拒绝。</w:t>
      </w:r>
    </w:p>
    <w:p w14:paraId="5879AF23">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5.2.3、比选人对比选参选文件的判定，只依据比选参选文件内容本身，不依靠比选后的任何外来证明。</w:t>
      </w:r>
    </w:p>
    <w:p w14:paraId="2D588518">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5.3、比选参选的澄清</w:t>
      </w:r>
    </w:p>
    <w:p w14:paraId="37BB1B1B">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5.3.1、业主方有权就比选参选文件中含混之处向比选参选人提出询问或澄清要求。</w:t>
      </w:r>
    </w:p>
    <w:p w14:paraId="52E02C18">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5.3.2、如业主方要求比选参选人就澄清的问题作书面回答，该书面回答应有比选参选人、法定代表人或其委托代理人的签字或盖章，并作为比选参选文件内容的一部分。</w:t>
      </w:r>
    </w:p>
    <w:p w14:paraId="46B51CF5">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5.3.3、比选参选人对比选参选文件的澄清不得改变价格及实质内容。</w:t>
      </w:r>
    </w:p>
    <w:p w14:paraId="1BD4872A">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5.4、评  选（详见评审办法）</w:t>
      </w:r>
    </w:p>
    <w:p w14:paraId="59565963">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5.4.1、业主方组织评选小组对具备实质性响应的比选参选文件进行评估和比较。评选小组会由竞争性比选人认可的技术、商务和其他有关方面的代表组成。</w:t>
      </w:r>
    </w:p>
    <w:p w14:paraId="0F2D7F49">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5.4.2、评选应严格按照竞争性比选文件的要求和条件进行，同时考虑以下因素：</w:t>
      </w:r>
    </w:p>
    <w:p w14:paraId="49E92644">
      <w:pPr>
        <w:pageBreakBefore w:val="0"/>
        <w:kinsoku/>
        <w:wordWrap/>
        <w:overflowPunct/>
        <w:topLinePunct w:val="0"/>
        <w:bidi w:val="0"/>
        <w:adjustRightInd w:val="0"/>
        <w:snapToGrid w:val="0"/>
        <w:spacing w:line="360" w:lineRule="auto"/>
        <w:ind w:left="3059" w:leftChars="912"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5.4.2.1、产品的性能。</w:t>
      </w:r>
    </w:p>
    <w:p w14:paraId="09EA5B48">
      <w:pPr>
        <w:pageBreakBefore w:val="0"/>
        <w:kinsoku/>
        <w:wordWrap/>
        <w:overflowPunct/>
        <w:topLinePunct w:val="0"/>
        <w:bidi w:val="0"/>
        <w:adjustRightInd w:val="0"/>
        <w:snapToGrid w:val="0"/>
        <w:spacing w:line="360" w:lineRule="auto"/>
        <w:ind w:left="3059" w:leftChars="912"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5.4.2.2、产品的先进性、可靠性及成熟性。</w:t>
      </w:r>
    </w:p>
    <w:p w14:paraId="1CB542EB">
      <w:pPr>
        <w:pageBreakBefore w:val="0"/>
        <w:kinsoku/>
        <w:wordWrap/>
        <w:overflowPunct/>
        <w:topLinePunct w:val="0"/>
        <w:bidi w:val="0"/>
        <w:adjustRightInd w:val="0"/>
        <w:snapToGrid w:val="0"/>
        <w:spacing w:line="360" w:lineRule="auto"/>
        <w:ind w:left="3059" w:leftChars="912"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5.4.2.3、交付时间、地点和付款方式。</w:t>
      </w:r>
    </w:p>
    <w:p w14:paraId="449270B6">
      <w:pPr>
        <w:pageBreakBefore w:val="0"/>
        <w:kinsoku/>
        <w:wordWrap/>
        <w:overflowPunct/>
        <w:topLinePunct w:val="0"/>
        <w:bidi w:val="0"/>
        <w:adjustRightInd w:val="0"/>
        <w:snapToGrid w:val="0"/>
        <w:spacing w:line="360" w:lineRule="auto"/>
        <w:ind w:left="3059" w:leftChars="912" w:hanging="1144" w:hangingChars="477"/>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5.4.2.4、质保、售后服务、技术培训。</w:t>
      </w:r>
    </w:p>
    <w:p w14:paraId="16F0A530">
      <w:pPr>
        <w:pageBreakBefore w:val="0"/>
        <w:kinsoku/>
        <w:wordWrap/>
        <w:overflowPunct/>
        <w:topLinePunct w:val="0"/>
        <w:bidi w:val="0"/>
        <w:adjustRightInd w:val="0"/>
        <w:snapToGrid w:val="0"/>
        <w:spacing w:line="360" w:lineRule="auto"/>
        <w:ind w:left="3059" w:leftChars="912" w:hanging="1144" w:hangingChars="477"/>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5.4.2.5、适合重庆广播电视集团（总台）的实际使用需要和整体技术发展。</w:t>
      </w:r>
    </w:p>
    <w:p w14:paraId="25E63557">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5.5、保密原则</w:t>
      </w:r>
    </w:p>
    <w:p w14:paraId="77014AC7">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5.5.1、比选之后直至公示比选结果前，凡属和比选有关资料及意向等，均不得向比选参选人或其他无关人员泄漏。</w:t>
      </w:r>
    </w:p>
    <w:p w14:paraId="44C1B1ED">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5.5.2、在评选期间，比选参选人企图影响业主方的任何活动，将导致比选参选被拒绝，并承担相应的法律责任。</w:t>
      </w:r>
    </w:p>
    <w:p w14:paraId="503459FD">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5.6、中选与落选</w:t>
      </w:r>
    </w:p>
    <w:p w14:paraId="23178B83">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5.6.1、比选结果公示发布在比选公告发布平台。</w:t>
      </w:r>
    </w:p>
    <w:p w14:paraId="50A0A16C">
      <w:pPr>
        <w:pageBreakBefore w:val="0"/>
        <w:kinsoku/>
        <w:wordWrap/>
        <w:overflowPunct/>
        <w:topLinePunct w:val="0"/>
        <w:bidi w:val="0"/>
        <w:adjustRightInd w:val="0"/>
        <w:snapToGrid w:val="0"/>
        <w:spacing w:line="360" w:lineRule="auto"/>
        <w:ind w:left="1977" w:leftChars="512" w:hanging="902" w:hangingChars="376"/>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5.6.2、比选结果公示期为3日。</w:t>
      </w:r>
    </w:p>
    <w:p w14:paraId="776504AC">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5.7、解释权</w:t>
      </w:r>
    </w:p>
    <w:p w14:paraId="4A1A9EE0">
      <w:pPr>
        <w:pageBreakBefore w:val="0"/>
        <w:kinsoku/>
        <w:wordWrap/>
        <w:overflowPunct/>
        <w:topLinePunct w:val="0"/>
        <w:bidi w:val="0"/>
        <w:adjustRightInd w:val="0"/>
        <w:snapToGrid w:val="0"/>
        <w:spacing w:line="360" w:lineRule="auto"/>
        <w:ind w:left="1197" w:leftChars="570" w:firstLine="420" w:firstLineChars="17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Cs/>
          <w:sz w:val="24"/>
          <w:szCs w:val="20"/>
          <w:highlight w:val="none"/>
        </w:rPr>
        <w:t>重庆广播电视集团（总台）</w:t>
      </w:r>
      <w:r>
        <w:rPr>
          <w:rFonts w:hint="eastAsia" w:ascii="宋体" w:hAnsi="宋体" w:eastAsia="宋体" w:cs="宋体"/>
          <w:sz w:val="24"/>
          <w:szCs w:val="24"/>
          <w:highlight w:val="none"/>
        </w:rPr>
        <w:t>网络安全等级保护测评服务</w:t>
      </w:r>
      <w:r>
        <w:rPr>
          <w:rFonts w:hint="eastAsia" w:asciiTheme="minorEastAsia" w:hAnsiTheme="minorEastAsia" w:eastAsiaTheme="minorEastAsia" w:cstheme="minorEastAsia"/>
          <w:sz w:val="24"/>
          <w:highlight w:val="none"/>
        </w:rPr>
        <w:t>”竞争性比选文件的解释权归重庆广播电视集团（总台）。</w:t>
      </w:r>
    </w:p>
    <w:p w14:paraId="55204CD2">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24"/>
          <w:highlight w:val="none"/>
        </w:rPr>
        <w:br w:type="page"/>
      </w:r>
      <w:bookmarkEnd w:id="3"/>
      <w:bookmarkEnd w:id="4"/>
      <w:bookmarkStart w:id="52" w:name="_Toc19863"/>
      <w:bookmarkStart w:id="53" w:name="_Toc28888"/>
      <w:bookmarkStart w:id="54" w:name="_Toc107396210"/>
      <w:bookmarkStart w:id="55" w:name="_Toc526410661"/>
      <w:bookmarkStart w:id="56" w:name="_Toc82504853"/>
      <w:bookmarkStart w:id="57" w:name="_Toc108791961"/>
      <w:bookmarkStart w:id="58" w:name="_Toc24025"/>
      <w:bookmarkStart w:id="59" w:name="_Toc24872"/>
      <w:bookmarkStart w:id="60" w:name="_Toc858831404"/>
      <w:r>
        <w:rPr>
          <w:rFonts w:hint="eastAsia" w:asciiTheme="minorEastAsia" w:hAnsiTheme="minorEastAsia" w:eastAsiaTheme="minorEastAsia" w:cstheme="minorEastAsia"/>
          <w:kern w:val="0"/>
          <w:sz w:val="36"/>
          <w:szCs w:val="36"/>
          <w:highlight w:val="none"/>
        </w:rPr>
        <w:t>比选参选一览表</w:t>
      </w:r>
      <w:bookmarkEnd w:id="52"/>
      <w:bookmarkEnd w:id="53"/>
      <w:bookmarkEnd w:id="54"/>
      <w:bookmarkEnd w:id="55"/>
      <w:bookmarkEnd w:id="56"/>
      <w:bookmarkEnd w:id="57"/>
      <w:bookmarkEnd w:id="58"/>
      <w:bookmarkEnd w:id="59"/>
      <w:bookmarkEnd w:id="60"/>
    </w:p>
    <w:p w14:paraId="3F94B8E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79352FB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竞争性比选项目名称：</w:t>
      </w:r>
      <w:r>
        <w:rPr>
          <w:rFonts w:hint="eastAsia" w:asciiTheme="minorEastAsia" w:hAnsiTheme="minorEastAsia" w:eastAsiaTheme="minorEastAsia" w:cstheme="minorEastAsia"/>
          <w:sz w:val="24"/>
          <w:highlight w:val="none"/>
          <w:u w:val="single"/>
        </w:rPr>
        <w:t xml:space="preserve">                            </w:t>
      </w:r>
    </w:p>
    <w:p w14:paraId="1FDBF44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tbl>
      <w:tblPr>
        <w:tblStyle w:val="16"/>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48"/>
        <w:gridCol w:w="1796"/>
        <w:gridCol w:w="4812"/>
      </w:tblGrid>
      <w:tr w14:paraId="13E4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8" w:type="dxa"/>
            <w:vAlign w:val="center"/>
          </w:tcPr>
          <w:p w14:paraId="55337F66">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6"/>
                <w:highlight w:val="none"/>
              </w:rPr>
              <w:t>序号</w:t>
            </w:r>
          </w:p>
        </w:tc>
        <w:tc>
          <w:tcPr>
            <w:tcW w:w="1548" w:type="dxa"/>
            <w:vAlign w:val="center"/>
          </w:tcPr>
          <w:p w14:paraId="4A1E1A4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6"/>
                <w:highlight w:val="none"/>
              </w:rPr>
              <w:t>名称</w:t>
            </w:r>
          </w:p>
        </w:tc>
        <w:tc>
          <w:tcPr>
            <w:tcW w:w="6608" w:type="dxa"/>
            <w:gridSpan w:val="2"/>
            <w:vAlign w:val="center"/>
          </w:tcPr>
          <w:p w14:paraId="1277992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6"/>
                <w:highlight w:val="none"/>
              </w:rPr>
              <w:t>说明</w:t>
            </w:r>
          </w:p>
        </w:tc>
      </w:tr>
      <w:tr w14:paraId="6DE5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trPr>
        <w:tc>
          <w:tcPr>
            <w:tcW w:w="828" w:type="dxa"/>
            <w:vMerge w:val="restart"/>
            <w:vAlign w:val="center"/>
          </w:tcPr>
          <w:p w14:paraId="77EC640D">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4"/>
                <w:highlight w:val="none"/>
              </w:rPr>
              <w:t>1</w:t>
            </w:r>
          </w:p>
        </w:tc>
        <w:tc>
          <w:tcPr>
            <w:tcW w:w="1548" w:type="dxa"/>
            <w:vMerge w:val="restart"/>
            <w:vAlign w:val="center"/>
          </w:tcPr>
          <w:p w14:paraId="4E40F82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4"/>
                <w:highlight w:val="none"/>
              </w:rPr>
              <w:t>重庆广播电视集团（总台）“</w:t>
            </w:r>
            <w:r>
              <w:rPr>
                <w:rFonts w:hint="eastAsia" w:ascii="宋体" w:hAnsi="宋体" w:eastAsia="宋体" w:cs="宋体"/>
                <w:sz w:val="24"/>
                <w:szCs w:val="24"/>
                <w:highlight w:val="none"/>
              </w:rPr>
              <w:t>网络安全等级保护测评服务</w:t>
            </w:r>
            <w:r>
              <w:rPr>
                <w:rFonts w:hint="eastAsia" w:asciiTheme="minorEastAsia" w:hAnsiTheme="minorEastAsia" w:eastAsiaTheme="minorEastAsia" w:cstheme="minorEastAsia"/>
                <w:sz w:val="24"/>
                <w:highlight w:val="none"/>
              </w:rPr>
              <w:t>”</w:t>
            </w:r>
          </w:p>
        </w:tc>
        <w:tc>
          <w:tcPr>
            <w:tcW w:w="1796" w:type="dxa"/>
            <w:vAlign w:val="center"/>
          </w:tcPr>
          <w:p w14:paraId="03C4418C">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6"/>
                <w:highlight w:val="none"/>
              </w:rPr>
              <w:t>比选参选价</w:t>
            </w:r>
          </w:p>
          <w:p w14:paraId="2F82A9D7">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r>
              <w:rPr>
                <w:rFonts w:hint="eastAsia" w:asciiTheme="minorEastAsia" w:hAnsiTheme="minorEastAsia" w:eastAsiaTheme="minorEastAsia" w:cstheme="minorEastAsia"/>
                <w:sz w:val="26"/>
                <w:highlight w:val="none"/>
              </w:rPr>
              <w:t>（人民币元）</w:t>
            </w:r>
          </w:p>
        </w:tc>
        <w:tc>
          <w:tcPr>
            <w:tcW w:w="4812" w:type="dxa"/>
            <w:vAlign w:val="center"/>
          </w:tcPr>
          <w:p w14:paraId="7AF41DD4">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6"/>
                <w:highlight w:val="none"/>
              </w:rPr>
            </w:pPr>
          </w:p>
        </w:tc>
      </w:tr>
      <w:tr w14:paraId="65F0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1" w:hRule="atLeast"/>
        </w:trPr>
        <w:tc>
          <w:tcPr>
            <w:tcW w:w="828" w:type="dxa"/>
            <w:vMerge w:val="continue"/>
            <w:vAlign w:val="center"/>
          </w:tcPr>
          <w:p w14:paraId="1102DFE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highlight w:val="none"/>
              </w:rPr>
            </w:pPr>
          </w:p>
        </w:tc>
        <w:tc>
          <w:tcPr>
            <w:tcW w:w="1548" w:type="dxa"/>
            <w:vMerge w:val="continue"/>
            <w:vAlign w:val="center"/>
          </w:tcPr>
          <w:p w14:paraId="42E6AB6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4"/>
                <w:highlight w:val="none"/>
              </w:rPr>
            </w:pPr>
          </w:p>
        </w:tc>
        <w:tc>
          <w:tcPr>
            <w:tcW w:w="1796" w:type="dxa"/>
            <w:vAlign w:val="center"/>
          </w:tcPr>
          <w:p w14:paraId="6F6F78D2">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6"/>
                <w:highlight w:val="none"/>
              </w:rPr>
              <w:t>交付时间</w:t>
            </w:r>
          </w:p>
        </w:tc>
        <w:tc>
          <w:tcPr>
            <w:tcW w:w="4812" w:type="dxa"/>
            <w:vAlign w:val="center"/>
          </w:tcPr>
          <w:p w14:paraId="0CDEB6C5">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highlight w:val="none"/>
              </w:rPr>
            </w:pPr>
          </w:p>
          <w:p w14:paraId="3D09BA06">
            <w:pPr>
              <w:pStyle w:val="4"/>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7C6875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tc>
      </w:tr>
    </w:tbl>
    <w:p w14:paraId="331EFF7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2AF52D3">
      <w:pPr>
        <w:pageBreakBefore w:val="0"/>
        <w:numPr>
          <w:ilvl w:val="0"/>
          <w:numId w:val="17"/>
        </w:numP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提供比选参选人须知规定的全部比选参选文件。</w:t>
      </w:r>
    </w:p>
    <w:p w14:paraId="65B57D47">
      <w:pPr>
        <w:pageBreakBefore w:val="0"/>
        <w:numPr>
          <w:ilvl w:val="0"/>
          <w:numId w:val="17"/>
        </w:numP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保证遵守竞争性比选文件中的规定。</w:t>
      </w:r>
    </w:p>
    <w:p w14:paraId="1FBABB53">
      <w:pPr>
        <w:pageBreakBefore w:val="0"/>
        <w:numPr>
          <w:ilvl w:val="0"/>
          <w:numId w:val="17"/>
        </w:numP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保证忠实执行买卖双方所签订的经济合同，并承担合同规定的责任义务。</w:t>
      </w:r>
    </w:p>
    <w:p w14:paraId="0B903BD7">
      <w:pPr>
        <w:pageBreakBefore w:val="0"/>
        <w:numPr>
          <w:ilvl w:val="0"/>
          <w:numId w:val="17"/>
        </w:numP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愿意向业主方提供任何与该比选参选有关的数据、情况和技术资料。</w:t>
      </w:r>
    </w:p>
    <w:p w14:paraId="3E64A15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D74056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比选参选人（盖章）：</w:t>
      </w:r>
    </w:p>
    <w:p w14:paraId="515E918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DD5766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4EF3E0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法定代表人或其委托代理人（签字或盖章）：</w:t>
      </w:r>
    </w:p>
    <w:p w14:paraId="66F0EAC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3E70226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986A9E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14:paraId="6E438406">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36"/>
          <w:szCs w:val="36"/>
          <w:highlight w:val="none"/>
        </w:rPr>
      </w:pPr>
      <w:bookmarkStart w:id="61" w:name="_Toc144116725"/>
      <w:bookmarkStart w:id="62" w:name="_Toc144110253"/>
      <w:bookmarkStart w:id="63" w:name="_Toc116392698"/>
      <w:bookmarkStart w:id="64" w:name="_Toc526410662"/>
      <w:bookmarkStart w:id="65" w:name="_Toc82504854"/>
      <w:r>
        <w:rPr>
          <w:rFonts w:hint="eastAsia" w:asciiTheme="minorEastAsia" w:hAnsiTheme="minorEastAsia" w:eastAsiaTheme="minorEastAsia" w:cstheme="minorEastAsia"/>
          <w:sz w:val="36"/>
          <w:szCs w:val="36"/>
          <w:highlight w:val="none"/>
        </w:rPr>
        <w:t>法定代表人授权委托书</w:t>
      </w:r>
      <w:bookmarkEnd w:id="61"/>
      <w:bookmarkEnd w:id="62"/>
      <w:bookmarkEnd w:id="63"/>
    </w:p>
    <w:p w14:paraId="41805D4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0"/>
          <w:highlight w:val="none"/>
        </w:rPr>
      </w:pPr>
    </w:p>
    <w:p w14:paraId="7F806F0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u w:val="single"/>
        </w:rPr>
        <w:t xml:space="preserve"> 重庆广播电视集团（总台）  </w:t>
      </w:r>
      <w:r>
        <w:rPr>
          <w:rFonts w:hint="eastAsia" w:asciiTheme="minorEastAsia" w:hAnsiTheme="minorEastAsia" w:eastAsiaTheme="minorEastAsia" w:cstheme="minorEastAsia"/>
          <w:sz w:val="30"/>
          <w:highlight w:val="none"/>
        </w:rPr>
        <w:t>：</w:t>
      </w:r>
    </w:p>
    <w:p w14:paraId="6CD29A77">
      <w:pPr>
        <w:pageBreakBefore w:val="0"/>
        <w:kinsoku/>
        <w:wordWrap/>
        <w:overflowPunct/>
        <w:topLinePunct w:val="0"/>
        <w:bidi w:val="0"/>
        <w:adjustRightInd w:val="0"/>
        <w:snapToGrid w:val="0"/>
        <w:spacing w:line="360" w:lineRule="auto"/>
        <w:ind w:firstLine="600"/>
        <w:textAlignment w:val="auto"/>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____________（比选参选人名称）是中华人民共和国合法企业，法定地址____________________。</w:t>
      </w:r>
    </w:p>
    <w:p w14:paraId="486BA45F">
      <w:pPr>
        <w:pageBreakBefore w:val="0"/>
        <w:kinsoku/>
        <w:wordWrap/>
        <w:overflowPunct/>
        <w:topLinePunct w:val="0"/>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_________（比选参选人法定代表人姓名）特授权_________（被授权人姓名）代表我单位参加贵单位组织的</w:t>
      </w:r>
      <w:r>
        <w:rPr>
          <w:rFonts w:hint="eastAsia" w:asciiTheme="minorEastAsia" w:hAnsiTheme="minorEastAsia" w:eastAsiaTheme="minorEastAsia" w:cstheme="minorEastAsia"/>
          <w:sz w:val="30"/>
          <w:highlight w:val="none"/>
          <w:u w:val="single"/>
        </w:rPr>
        <w:t xml:space="preserve">         （</w:t>
      </w:r>
      <w:r>
        <w:rPr>
          <w:rFonts w:hint="eastAsia" w:asciiTheme="minorEastAsia" w:hAnsiTheme="minorEastAsia" w:eastAsiaTheme="minorEastAsia" w:cstheme="minorEastAsia"/>
          <w:sz w:val="30"/>
          <w:highlight w:val="none"/>
        </w:rPr>
        <w:t>项目名称）竞争性比选活动，全权处理竞争性比选活动中的一切事宜。</w:t>
      </w:r>
    </w:p>
    <w:p w14:paraId="47078A38">
      <w:pPr>
        <w:pageBreakBefore w:val="0"/>
        <w:kinsoku/>
        <w:wordWrap/>
        <w:overflowPunct/>
        <w:topLinePunct w:val="0"/>
        <w:bidi w:val="0"/>
        <w:adjustRightInd w:val="0"/>
        <w:snapToGrid w:val="0"/>
        <w:spacing w:line="360" w:lineRule="auto"/>
        <w:ind w:firstLine="600"/>
        <w:textAlignment w:val="auto"/>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我单位对被授权人的签字</w:t>
      </w:r>
      <w:r>
        <w:rPr>
          <w:rFonts w:hint="eastAsia" w:asciiTheme="minorEastAsia" w:hAnsiTheme="minorEastAsia" w:eastAsiaTheme="minorEastAsia" w:cstheme="minorEastAsia"/>
          <w:sz w:val="28"/>
          <w:szCs w:val="28"/>
          <w:highlight w:val="none"/>
        </w:rPr>
        <w:t>或盖章</w:t>
      </w:r>
      <w:r>
        <w:rPr>
          <w:rFonts w:hint="eastAsia" w:asciiTheme="minorEastAsia" w:hAnsiTheme="minorEastAsia" w:eastAsiaTheme="minorEastAsia" w:cstheme="minorEastAsia"/>
          <w:sz w:val="30"/>
          <w:highlight w:val="none"/>
        </w:rPr>
        <w:t>负全部责任。</w:t>
      </w:r>
    </w:p>
    <w:p w14:paraId="0A2A24D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0"/>
          <w:highlight w:val="none"/>
        </w:rPr>
      </w:pPr>
    </w:p>
    <w:p w14:paraId="5C57461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0"/>
          <w:highlight w:val="none"/>
        </w:rPr>
      </w:pPr>
    </w:p>
    <w:p w14:paraId="32ED008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被授权人（签字或盖章）：</w:t>
      </w:r>
    </w:p>
    <w:p w14:paraId="234DA4A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法定代表人（签字或盖章）：</w:t>
      </w:r>
    </w:p>
    <w:p w14:paraId="4B31252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比选参选人（单位公章）：</w:t>
      </w:r>
    </w:p>
    <w:p w14:paraId="1E1F1DB5">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14:paraId="36487BE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0"/>
          <w:highlight w:val="none"/>
        </w:rPr>
      </w:pPr>
    </w:p>
    <w:p w14:paraId="3F901861">
      <w:pPr>
        <w:pStyle w:val="15"/>
        <w:pageBreakBefore w:val="0"/>
        <w:kinsoku/>
        <w:wordWrap/>
        <w:overflowPunct/>
        <w:topLinePunct w:val="0"/>
        <w:bidi w:val="0"/>
        <w:adjustRightInd w:val="0"/>
        <w:snapToGrid w:val="0"/>
        <w:spacing w:line="360" w:lineRule="auto"/>
        <w:ind w:firstLine="300"/>
        <w:textAlignment w:val="auto"/>
        <w:rPr>
          <w:rFonts w:hint="eastAsia" w:asciiTheme="minorEastAsia" w:hAnsiTheme="minorEastAsia" w:eastAsiaTheme="minorEastAsia" w:cstheme="minorEastAsia"/>
          <w:sz w:val="30"/>
          <w:highlight w:val="none"/>
        </w:rPr>
      </w:pPr>
    </w:p>
    <w:p w14:paraId="21C25B89">
      <w:pPr>
        <w:pStyle w:val="15"/>
        <w:pageBreakBefore w:val="0"/>
        <w:kinsoku/>
        <w:wordWrap/>
        <w:overflowPunct/>
        <w:topLinePunct w:val="0"/>
        <w:bidi w:val="0"/>
        <w:adjustRightInd w:val="0"/>
        <w:snapToGrid w:val="0"/>
        <w:spacing w:line="360" w:lineRule="auto"/>
        <w:ind w:firstLine="300"/>
        <w:textAlignment w:val="auto"/>
        <w:rPr>
          <w:rFonts w:hint="eastAsia" w:asciiTheme="minorEastAsia" w:hAnsiTheme="minorEastAsia" w:eastAsiaTheme="minorEastAsia" w:cstheme="minorEastAsia"/>
          <w:sz w:val="30"/>
          <w:highlight w:val="none"/>
        </w:rPr>
      </w:pPr>
    </w:p>
    <w:p w14:paraId="68B260F6">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注：法定代表人参选并签署文件的不需要授权委托书，只需提供法定代表人身份证明（营业执照复印件、身份证复印件并加盖比选参选人公章）；非法定代表人参选及签署文件的，除提供法定代表人身份证明外还须提供授权委托书及被授权人身份证明。</w:t>
      </w:r>
    </w:p>
    <w:p w14:paraId="734E1F0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2"/>
          <w:highlight w:val="none"/>
        </w:rPr>
      </w:pPr>
    </w:p>
    <w:p w14:paraId="01D4D76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br w:type="page"/>
      </w:r>
    </w:p>
    <w:p w14:paraId="125ABEE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附：法定代表人和被授权人身份证复印件（双面）</w:t>
      </w:r>
    </w:p>
    <w:p w14:paraId="430A3C00">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7F65C19A">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0F9B3075">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794AC40C">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377EF6DF">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78D9C9F1">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035D4043">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313B0E34">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02F8D0F8">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3A7FF2DF">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6C425B21">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14EE3DB0">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0094C53A">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6B790E1D">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1EEB8D26">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12D18111">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0BCE1A8B">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2535BEF8">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0EE38549">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48C1DA6E">
      <w:pPr>
        <w:pageBreakBefore w:val="0"/>
        <w:tabs>
          <w:tab w:val="left" w:pos="4005"/>
          <w:tab w:val="left" w:pos="4100"/>
          <w:tab w:val="left" w:pos="504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kern w:val="0"/>
          <w:szCs w:val="21"/>
          <w:highlight w:val="none"/>
        </w:rPr>
      </w:pPr>
    </w:p>
    <w:p w14:paraId="791888D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30"/>
          <w:highlight w:val="none"/>
        </w:rPr>
      </w:pPr>
      <w:r>
        <w:rPr>
          <w:rFonts w:hint="eastAsia" w:asciiTheme="minorEastAsia" w:hAnsiTheme="minorEastAsia" w:eastAsiaTheme="minorEastAsia" w:cstheme="minorEastAsia"/>
          <w:b/>
          <w:sz w:val="30"/>
          <w:highlight w:val="none"/>
        </w:rPr>
        <w:t>附：</w:t>
      </w:r>
    </w:p>
    <w:p w14:paraId="3E09C2DD">
      <w:pPr>
        <w:pageBreakBefore w:val="0"/>
        <w:kinsoku/>
        <w:wordWrap/>
        <w:overflowPunct/>
        <w:topLinePunct w:val="0"/>
        <w:bidi w:val="0"/>
        <w:adjustRightInd w:val="0"/>
        <w:snapToGrid w:val="0"/>
        <w:spacing w:line="360" w:lineRule="auto"/>
        <w:ind w:left="360"/>
        <w:textAlignment w:val="auto"/>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30"/>
          <w:highlight w:val="none"/>
        </w:rPr>
        <w:t>被授权人联系方式</w:t>
      </w:r>
      <w:r>
        <w:rPr>
          <w:rFonts w:hint="eastAsia" w:asciiTheme="minorEastAsia" w:hAnsiTheme="minorEastAsia" w:eastAsiaTheme="minorEastAsia" w:cstheme="minorEastAsia"/>
          <w:sz w:val="28"/>
          <w:highlight w:val="none"/>
        </w:rPr>
        <w:t>：</w:t>
      </w:r>
    </w:p>
    <w:p w14:paraId="02A5200E">
      <w:pPr>
        <w:pageBreakBefore w:val="0"/>
        <w:kinsoku/>
        <w:wordWrap/>
        <w:overflowPunct/>
        <w:topLinePunct w:val="0"/>
        <w:bidi w:val="0"/>
        <w:adjustRightInd w:val="0"/>
        <w:snapToGrid w:val="0"/>
        <w:spacing w:line="360" w:lineRule="auto"/>
        <w:ind w:left="360"/>
        <w:textAlignment w:val="auto"/>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收件地址（用于函件投递）：</w:t>
      </w:r>
    </w:p>
    <w:p w14:paraId="22E45DD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14:paraId="1CA857E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14:paraId="2A49813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比选参选人（盖章）：</w:t>
      </w:r>
    </w:p>
    <w:p w14:paraId="58D36AB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0"/>
          <w:highlight w:val="none"/>
        </w:rPr>
      </w:pPr>
    </w:p>
    <w:p w14:paraId="6F02719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14:paraId="766437A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36"/>
          <w:szCs w:val="36"/>
          <w:highlight w:val="none"/>
        </w:rPr>
      </w:pPr>
      <w:bookmarkStart w:id="66" w:name="_Toc144116726"/>
      <w:bookmarkStart w:id="67" w:name="_Toc144110254"/>
      <w:r>
        <w:rPr>
          <w:rFonts w:hint="eastAsia" w:asciiTheme="minorEastAsia" w:hAnsiTheme="minorEastAsia" w:eastAsiaTheme="minorEastAsia" w:cstheme="minorEastAsia"/>
          <w:sz w:val="36"/>
          <w:szCs w:val="36"/>
          <w:highlight w:val="none"/>
        </w:rPr>
        <w:br w:type="page"/>
      </w:r>
    </w:p>
    <w:p w14:paraId="470309CB">
      <w:pPr>
        <w:pageBreakBefore w:val="0"/>
        <w:kinsoku/>
        <w:wordWrap/>
        <w:overflowPunct/>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sz w:val="36"/>
          <w:szCs w:val="36"/>
          <w:highlight w:val="none"/>
        </w:rPr>
      </w:pPr>
      <w:bookmarkStart w:id="68" w:name="_Toc24214"/>
      <w:r>
        <w:rPr>
          <w:rFonts w:hint="eastAsia" w:asciiTheme="minorEastAsia" w:hAnsiTheme="minorEastAsia" w:eastAsiaTheme="minorEastAsia" w:cstheme="minorEastAsia"/>
          <w:sz w:val="36"/>
          <w:szCs w:val="36"/>
          <w:highlight w:val="none"/>
        </w:rPr>
        <w:t>比选参选价格和相关费用清单</w:t>
      </w:r>
      <w:bookmarkEnd w:id="66"/>
      <w:bookmarkEnd w:id="67"/>
      <w:bookmarkEnd w:id="68"/>
    </w:p>
    <w:p w14:paraId="1118D67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单位：   元（人民币）</w:t>
      </w:r>
    </w:p>
    <w:p w14:paraId="2FBB0CB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highlight w:val="none"/>
        </w:rPr>
      </w:pPr>
    </w:p>
    <w:p w14:paraId="61D6D6D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形式自定，分项报价。</w:t>
      </w:r>
    </w:p>
    <w:p w14:paraId="24BFD9A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p w14:paraId="42BC3F5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2F195C4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29278FE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62C164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F49F36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7404287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79F0F0F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2F0AB50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6659093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A40311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014B27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047283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4B3B8A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12DEBB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0801678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7DE04BB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1FCA644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4407C19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比选参选人（盖章）：</w:t>
      </w:r>
    </w:p>
    <w:p w14:paraId="2DF87E8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7E90286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法定代表人或其委托代理人（签字或盖章）：</w:t>
      </w:r>
    </w:p>
    <w:p w14:paraId="69C9EBB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FDF75BA">
      <w:pPr>
        <w:pageBreakBefore w:val="0"/>
        <w:kinsoku/>
        <w:wordWrap/>
        <w:overflowPunct/>
        <w:topLinePunct w:val="0"/>
        <w:bidi w:val="0"/>
        <w:adjustRightInd w:val="0"/>
        <w:snapToGrid w:val="0"/>
        <w:spacing w:line="360" w:lineRule="auto"/>
        <w:jc w:val="righ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14:paraId="413D800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highlight w:val="none"/>
        </w:rPr>
      </w:pPr>
    </w:p>
    <w:p w14:paraId="59BC565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highlight w:val="none"/>
        </w:rPr>
        <w:br w:type="page"/>
      </w:r>
      <w:bookmarkEnd w:id="64"/>
      <w:bookmarkEnd w:id="65"/>
      <w:r>
        <w:rPr>
          <w:rFonts w:hint="eastAsia" w:asciiTheme="minorEastAsia" w:hAnsiTheme="minorEastAsia" w:eastAsiaTheme="minorEastAsia" w:cstheme="minorEastAsia"/>
          <w:b/>
          <w:kern w:val="0"/>
          <w:sz w:val="24"/>
          <w:highlight w:val="none"/>
        </w:rPr>
        <w:t>以下表格形式供参考：</w:t>
      </w:r>
    </w:p>
    <w:p w14:paraId="7A709D6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kern w:val="0"/>
          <w:sz w:val="24"/>
          <w:highlight w:val="none"/>
        </w:rPr>
      </w:pPr>
    </w:p>
    <w:p w14:paraId="4ECC102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商务符合性应答表</w:t>
      </w:r>
    </w:p>
    <w:p w14:paraId="4A4C653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项目名称：</w:t>
      </w:r>
    </w:p>
    <w:tbl>
      <w:tblPr>
        <w:tblStyle w:val="16"/>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329"/>
        <w:gridCol w:w="1985"/>
        <w:gridCol w:w="1533"/>
        <w:gridCol w:w="2014"/>
        <w:gridCol w:w="1526"/>
      </w:tblGrid>
      <w:tr w14:paraId="7341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19" w:type="pct"/>
            <w:vAlign w:val="center"/>
          </w:tcPr>
          <w:p w14:paraId="78C94C8A">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41" w:type="pct"/>
            <w:vAlign w:val="center"/>
          </w:tcPr>
          <w:p w14:paraId="3B45149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章节</w:t>
            </w:r>
          </w:p>
        </w:tc>
        <w:tc>
          <w:tcPr>
            <w:tcW w:w="1107" w:type="pct"/>
            <w:vAlign w:val="center"/>
          </w:tcPr>
          <w:p w14:paraId="2A072C3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比选商务条目</w:t>
            </w:r>
          </w:p>
        </w:tc>
        <w:tc>
          <w:tcPr>
            <w:tcW w:w="855" w:type="pct"/>
            <w:vAlign w:val="center"/>
          </w:tcPr>
          <w:p w14:paraId="45D989B9">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比选商务要求</w:t>
            </w:r>
          </w:p>
        </w:tc>
        <w:tc>
          <w:tcPr>
            <w:tcW w:w="1123" w:type="pct"/>
            <w:vAlign w:val="center"/>
          </w:tcPr>
          <w:p w14:paraId="12496956">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比选参选商务应答</w:t>
            </w:r>
          </w:p>
        </w:tc>
        <w:tc>
          <w:tcPr>
            <w:tcW w:w="851" w:type="pct"/>
            <w:vAlign w:val="center"/>
          </w:tcPr>
          <w:p w14:paraId="0A7D7FB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差异说明</w:t>
            </w:r>
          </w:p>
        </w:tc>
      </w:tr>
      <w:tr w14:paraId="5859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7CABFF0D">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41" w:type="pct"/>
            <w:vAlign w:val="center"/>
          </w:tcPr>
          <w:p w14:paraId="544AB8EA">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比选商务</w:t>
            </w:r>
          </w:p>
        </w:tc>
        <w:tc>
          <w:tcPr>
            <w:tcW w:w="1107" w:type="pct"/>
            <w:vAlign w:val="center"/>
          </w:tcPr>
          <w:p w14:paraId="38C14406">
            <w:pPr>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1）支付方式</w:t>
            </w:r>
          </w:p>
        </w:tc>
        <w:tc>
          <w:tcPr>
            <w:tcW w:w="855" w:type="pct"/>
            <w:vAlign w:val="center"/>
          </w:tcPr>
          <w:p w14:paraId="7C3E91F7">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1123" w:type="pct"/>
            <w:vAlign w:val="center"/>
          </w:tcPr>
          <w:p w14:paraId="45BB2B0A">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851" w:type="pct"/>
            <w:vAlign w:val="center"/>
          </w:tcPr>
          <w:p w14:paraId="6C9DF9C5">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r>
      <w:tr w14:paraId="29A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26510E4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67C4701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1107" w:type="pct"/>
            <w:vAlign w:val="center"/>
          </w:tcPr>
          <w:p w14:paraId="53C4CBB6">
            <w:pPr>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en-US" w:eastAsia="zh-CN"/>
              </w:rPr>
              <w:t>项目</w:t>
            </w:r>
            <w:r>
              <w:rPr>
                <w:rFonts w:hint="eastAsia" w:asciiTheme="minorEastAsia" w:hAnsiTheme="minorEastAsia" w:eastAsiaTheme="minorEastAsia" w:cstheme="minorEastAsia"/>
                <w:szCs w:val="21"/>
                <w:highlight w:val="none"/>
              </w:rPr>
              <w:t>验收</w:t>
            </w:r>
          </w:p>
        </w:tc>
        <w:tc>
          <w:tcPr>
            <w:tcW w:w="855" w:type="pct"/>
            <w:vAlign w:val="center"/>
          </w:tcPr>
          <w:p w14:paraId="4DCBFF9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7C13C48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4C9AA4F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41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4C594B1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05D5CD3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vAlign w:val="center"/>
          </w:tcPr>
          <w:p w14:paraId="776D53C8">
            <w:pPr>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en-US" w:eastAsia="zh-CN"/>
              </w:rPr>
              <w:t>售后服务</w:t>
            </w:r>
          </w:p>
        </w:tc>
        <w:tc>
          <w:tcPr>
            <w:tcW w:w="855" w:type="pct"/>
            <w:vAlign w:val="center"/>
          </w:tcPr>
          <w:p w14:paraId="15F328D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08FC4EA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4A76B14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4AD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4DADB79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06E8AD1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vAlign w:val="center"/>
          </w:tcPr>
          <w:p w14:paraId="5CE87DFD">
            <w:pPr>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en-US" w:eastAsia="zh-CN"/>
              </w:rPr>
              <w:t>保密要求</w:t>
            </w:r>
          </w:p>
        </w:tc>
        <w:tc>
          <w:tcPr>
            <w:tcW w:w="855" w:type="pct"/>
            <w:vAlign w:val="center"/>
          </w:tcPr>
          <w:p w14:paraId="539F723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338D714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7DA43A3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2019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2C0F9C4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5CD7F46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5F7B83F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1B924F6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50689E0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4436F13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63E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014C8B7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4D103C2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0A9457B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00CDCE7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1E44748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7A28391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163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0D1EECE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738AFBB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4673D8A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28465EB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01EDF9E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00D02EB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2AF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725D96C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6DD1A27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5EBD581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32F4C37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087219A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6F4B03C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67EB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0C8C52F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42307D1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5EF9D03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3439E08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065FDDE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1AA9D6E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DD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6263427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1F9B765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4941548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179DE67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6E53F16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5A450C7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63CF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72C904A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069460B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0EA4301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4EE5428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5DA5310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274C768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178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9" w:type="pct"/>
            <w:vAlign w:val="center"/>
          </w:tcPr>
          <w:p w14:paraId="4932F2E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741" w:type="pct"/>
            <w:vAlign w:val="center"/>
          </w:tcPr>
          <w:p w14:paraId="2AB97B5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07" w:type="pct"/>
          </w:tcPr>
          <w:p w14:paraId="2ADBEF8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5" w:type="pct"/>
            <w:vAlign w:val="center"/>
          </w:tcPr>
          <w:p w14:paraId="5225D6F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23" w:type="pct"/>
            <w:vAlign w:val="center"/>
          </w:tcPr>
          <w:p w14:paraId="6CDBE0A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51" w:type="pct"/>
            <w:vAlign w:val="center"/>
          </w:tcPr>
          <w:p w14:paraId="1DE1D4B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bl>
    <w:p w14:paraId="51450DE8">
      <w:pPr>
        <w:pageBreakBefore w:val="0"/>
        <w:kinsoku/>
        <w:wordWrap/>
        <w:overflowPunct/>
        <w:topLinePunct w:val="0"/>
        <w:bidi w:val="0"/>
        <w:adjustRightInd w:val="0"/>
        <w:snapToGrid w:val="0"/>
        <w:spacing w:line="360" w:lineRule="auto"/>
        <w:ind w:left="360"/>
        <w:textAlignment w:val="auto"/>
        <w:rPr>
          <w:rFonts w:hint="eastAsia" w:asciiTheme="minorEastAsia" w:hAnsiTheme="minorEastAsia" w:eastAsiaTheme="minorEastAsia" w:cstheme="minorEastAsia"/>
          <w:highlight w:val="none"/>
        </w:rPr>
      </w:pPr>
    </w:p>
    <w:p w14:paraId="4A8B6FB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b/>
          <w:kern w:val="0"/>
          <w:sz w:val="24"/>
          <w:highlight w:val="none"/>
        </w:rPr>
        <w:t>技术符合性应答表</w:t>
      </w:r>
    </w:p>
    <w:p w14:paraId="041B93F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项目名称：</w:t>
      </w:r>
    </w:p>
    <w:tbl>
      <w:tblPr>
        <w:tblStyle w:val="16"/>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224"/>
        <w:gridCol w:w="1526"/>
        <w:gridCol w:w="2064"/>
        <w:gridCol w:w="1906"/>
        <w:gridCol w:w="1696"/>
      </w:tblGrid>
      <w:tr w14:paraId="7E0F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24" w:type="pct"/>
            <w:vAlign w:val="center"/>
          </w:tcPr>
          <w:p w14:paraId="5F3F4BB4">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680" w:type="pct"/>
            <w:vAlign w:val="center"/>
          </w:tcPr>
          <w:p w14:paraId="307F8896">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章节</w:t>
            </w:r>
          </w:p>
        </w:tc>
        <w:tc>
          <w:tcPr>
            <w:tcW w:w="848" w:type="pct"/>
            <w:vAlign w:val="center"/>
          </w:tcPr>
          <w:p w14:paraId="679A9C02">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比选技术条目</w:t>
            </w:r>
          </w:p>
        </w:tc>
        <w:tc>
          <w:tcPr>
            <w:tcW w:w="1147" w:type="pct"/>
            <w:vAlign w:val="center"/>
          </w:tcPr>
          <w:p w14:paraId="1C353D83">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比选技术要求</w:t>
            </w:r>
          </w:p>
        </w:tc>
        <w:tc>
          <w:tcPr>
            <w:tcW w:w="1059" w:type="pct"/>
            <w:vAlign w:val="center"/>
          </w:tcPr>
          <w:p w14:paraId="71B06C7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比选参选技术应答</w:t>
            </w:r>
          </w:p>
        </w:tc>
        <w:tc>
          <w:tcPr>
            <w:tcW w:w="942" w:type="pct"/>
            <w:vAlign w:val="center"/>
          </w:tcPr>
          <w:p w14:paraId="72B93423">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差异说明</w:t>
            </w:r>
          </w:p>
        </w:tc>
      </w:tr>
      <w:tr w14:paraId="7E47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2854D4D2">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680" w:type="pct"/>
            <w:vAlign w:val="center"/>
          </w:tcPr>
          <w:p w14:paraId="35EFEE86">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项目技术需求</w:t>
            </w:r>
          </w:p>
        </w:tc>
        <w:tc>
          <w:tcPr>
            <w:tcW w:w="848" w:type="pct"/>
            <w:vAlign w:val="center"/>
          </w:tcPr>
          <w:p w14:paraId="4C7A94AA">
            <w:pPr>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highlight w:val="none"/>
                <w:lang w:val="en-US"/>
              </w:rPr>
            </w:pPr>
            <w:r>
              <w:rPr>
                <w:rFonts w:hint="eastAsia" w:asciiTheme="minorEastAsia" w:hAnsiTheme="minorEastAsia" w:eastAsiaTheme="minorEastAsia" w:cstheme="minorEastAsia"/>
                <w:szCs w:val="21"/>
                <w:highlight w:val="none"/>
              </w:rPr>
              <w:t>技术</w:t>
            </w:r>
            <w:r>
              <w:rPr>
                <w:rFonts w:hint="eastAsia" w:asciiTheme="minorEastAsia" w:hAnsiTheme="minorEastAsia" w:eastAsiaTheme="minorEastAsia" w:cstheme="minorEastAsia"/>
                <w:szCs w:val="21"/>
                <w:highlight w:val="none"/>
                <w:lang w:val="en-US" w:eastAsia="zh-CN"/>
              </w:rPr>
              <w:t>服务清单</w:t>
            </w:r>
          </w:p>
        </w:tc>
        <w:tc>
          <w:tcPr>
            <w:tcW w:w="1147" w:type="pct"/>
            <w:vAlign w:val="center"/>
          </w:tcPr>
          <w:p w14:paraId="7412B6CD">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1059" w:type="pct"/>
            <w:vAlign w:val="center"/>
          </w:tcPr>
          <w:p w14:paraId="2389C03E">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942" w:type="pct"/>
            <w:vAlign w:val="center"/>
          </w:tcPr>
          <w:p w14:paraId="17B17A0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r>
      <w:tr w14:paraId="4247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27B7BAE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680" w:type="pct"/>
            <w:vAlign w:val="center"/>
          </w:tcPr>
          <w:p w14:paraId="30DDEE3E">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848" w:type="pct"/>
          </w:tcPr>
          <w:p w14:paraId="350AA7D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tc>
        <w:tc>
          <w:tcPr>
            <w:tcW w:w="1147" w:type="pct"/>
            <w:vAlign w:val="center"/>
          </w:tcPr>
          <w:p w14:paraId="75834551">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1059" w:type="pct"/>
            <w:vAlign w:val="center"/>
          </w:tcPr>
          <w:p w14:paraId="6BFC02C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32E5EC6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352F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3BEDBC6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17A2514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5A7B960F">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1147" w:type="pct"/>
            <w:vAlign w:val="center"/>
          </w:tcPr>
          <w:p w14:paraId="3DEE1690">
            <w:pPr>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szCs w:val="21"/>
                <w:highlight w:val="none"/>
              </w:rPr>
            </w:pPr>
          </w:p>
        </w:tc>
        <w:tc>
          <w:tcPr>
            <w:tcW w:w="1059" w:type="pct"/>
            <w:vAlign w:val="center"/>
          </w:tcPr>
          <w:p w14:paraId="6253821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772295A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43B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4" w:type="pct"/>
            <w:vAlign w:val="center"/>
          </w:tcPr>
          <w:p w14:paraId="64F7E55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6553DAB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33B58AA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42A9A9C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150D275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57BCF8E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6A11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1BF0189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514CD87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52AAF16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0D076CB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59EBC50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601BA51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83C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482AFD0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23212D1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740E2B7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72FFC0D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651170C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1C9909D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3891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07B515E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7629501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475CECA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32B27AD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69CACFF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5339DB7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5898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7E6B4CD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774FDDB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07FFC92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686F656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6ABA183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7B9E210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1A61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0671F23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7E8A8A5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0E096A2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4C22A8B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4E6DD2E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574FFAE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51C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3028997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6652391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26A64A2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3DFBE7C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4916F9E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4C49840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3DDF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3E45476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0885934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31203E5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11E6FF4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5E4C281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4419E1D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r w14:paraId="36DC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4" w:type="pct"/>
            <w:vAlign w:val="center"/>
          </w:tcPr>
          <w:p w14:paraId="1893CDD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680" w:type="pct"/>
            <w:vAlign w:val="center"/>
          </w:tcPr>
          <w:p w14:paraId="0E7FF1D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848" w:type="pct"/>
          </w:tcPr>
          <w:p w14:paraId="3F6AC51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147" w:type="pct"/>
            <w:vAlign w:val="center"/>
          </w:tcPr>
          <w:p w14:paraId="0C3F397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1059" w:type="pct"/>
            <w:vAlign w:val="center"/>
          </w:tcPr>
          <w:p w14:paraId="6579683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c>
          <w:tcPr>
            <w:tcW w:w="942" w:type="pct"/>
            <w:vAlign w:val="center"/>
          </w:tcPr>
          <w:p w14:paraId="2EB9620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Cs w:val="21"/>
                <w:highlight w:val="none"/>
              </w:rPr>
            </w:pPr>
          </w:p>
        </w:tc>
      </w:tr>
    </w:tbl>
    <w:p w14:paraId="32AFEEF4">
      <w:pPr>
        <w:pageBreakBefore w:val="0"/>
        <w:kinsoku/>
        <w:wordWrap/>
        <w:overflowPunct/>
        <w:topLinePunct w:val="0"/>
        <w:bidi w:val="0"/>
        <w:adjustRightInd w:val="0"/>
        <w:snapToGrid w:val="0"/>
        <w:spacing w:line="360" w:lineRule="auto"/>
        <w:ind w:left="360"/>
        <w:textAlignment w:val="auto"/>
        <w:rPr>
          <w:rFonts w:hint="eastAsia" w:asciiTheme="minorEastAsia" w:hAnsiTheme="minorEastAsia" w:eastAsiaTheme="minorEastAsia" w:cstheme="minorEastAsia"/>
          <w:highlight w:val="none"/>
        </w:rPr>
      </w:pPr>
    </w:p>
    <w:p w14:paraId="5E345E3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p w14:paraId="1E84357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p w14:paraId="15B2F6B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p w14:paraId="1CE5B11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rPr>
      </w:pPr>
    </w:p>
    <w:p w14:paraId="59AA786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highlight w:val="none"/>
          <w:lang w:eastAsia="zh-CN"/>
        </w:rPr>
      </w:pPr>
    </w:p>
    <w:sectPr>
      <w:footerReference r:id="rId12" w:type="first"/>
      <w:headerReference r:id="rId10" w:type="default"/>
      <w:footerReference r:id="rId11" w:type="default"/>
      <w:pgSz w:w="11906" w:h="16838"/>
      <w:pgMar w:top="1440" w:right="1797" w:bottom="1440" w:left="1797"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script"/>
    <w:pitch w:val="default"/>
    <w:sig w:usb0="800002BF" w:usb1="38C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5A85">
    <w:pPr>
      <w:pStyle w:val="12"/>
      <w:jc w:val="right"/>
    </w:pPr>
    <w:r>
      <w:fldChar w:fldCharType="begin"/>
    </w:r>
    <w:r>
      <w:instrText xml:space="preserve"> PAGE   \* MERGEFORMAT </w:instrText>
    </w:r>
    <w:r>
      <w:fldChar w:fldCharType="separate"/>
    </w:r>
    <w:r>
      <w:rPr>
        <w:lang w:val="zh-CN"/>
      </w:rPr>
      <w:t>9</w:t>
    </w:r>
    <w:r>
      <w:rPr>
        <w:lang w:val="zh-CN"/>
      </w:rPr>
      <w:fldChar w:fldCharType="end"/>
    </w:r>
  </w:p>
  <w:p w14:paraId="639FFEF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AC6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CD3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E78C">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B604">
    <w:pPr>
      <w:pStyle w:val="12"/>
      <w:jc w:val="right"/>
    </w:pPr>
    <w:r>
      <w:fldChar w:fldCharType="begin"/>
    </w:r>
    <w:r>
      <w:instrText xml:space="preserve"> PAGE   \* MERGEFORMAT </w:instrText>
    </w:r>
    <w:r>
      <w:fldChar w:fldCharType="separate"/>
    </w:r>
    <w:r>
      <w:rPr>
        <w:lang w:val="zh-CN"/>
      </w:rPr>
      <w:t>24</w:t>
    </w:r>
    <w:r>
      <w:rPr>
        <w:lang w:val="zh-CN"/>
      </w:rPr>
      <w:fldChar w:fldCharType="end"/>
    </w:r>
  </w:p>
  <w:p w14:paraId="2DC2E90D">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90B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B70C">
    <w:pPr>
      <w:pStyle w:val="13"/>
      <w:jc w:val="both"/>
    </w:pPr>
    <w:r>
      <w:rPr>
        <w:rFonts w:hint="eastAsia"/>
      </w:rPr>
      <w:t>重庆广播电视集团（总台）经营管理系统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EA4D">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590C">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72AB">
    <w:pPr>
      <w:pStyle w:val="13"/>
      <w:jc w:val="both"/>
    </w:pPr>
    <w:r>
      <w:rPr>
        <w:rFonts w:hint="eastAsia"/>
      </w:rPr>
      <w:t>重庆广播电视集团（总台）</w:t>
    </w:r>
    <w:r>
      <w:rPr>
        <w:rFonts w:hint="eastAsia"/>
        <w:lang w:val="en-US" w:eastAsia="zh-CN"/>
      </w:rPr>
      <w:t>网络安全等级保护测评服务</w:t>
    </w:r>
    <w:r>
      <w:rPr>
        <w:rFonts w:hint="eastAsia"/>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10703"/>
    <w:multiLevelType w:val="multilevel"/>
    <w:tmpl w:val="8C910703"/>
    <w:lvl w:ilvl="0" w:tentative="0">
      <w:start w:val="1"/>
      <w:numFmt w:val="decimal"/>
      <w:lvlText w:val="%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1200"/>
        </w:tabs>
        <w:ind w:left="1200" w:hanging="36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1">
    <w:nsid w:val="A9B5258F"/>
    <w:multiLevelType w:val="multilevel"/>
    <w:tmpl w:val="A9B5258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A015EE3"/>
    <w:multiLevelType w:val="multilevel"/>
    <w:tmpl w:val="AA015EE3"/>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CCFB44B6"/>
    <w:multiLevelType w:val="singleLevel"/>
    <w:tmpl w:val="CCFB44B6"/>
    <w:lvl w:ilvl="0" w:tentative="0">
      <w:start w:val="1"/>
      <w:numFmt w:val="bullet"/>
      <w:lvlText w:val=""/>
      <w:lvlJc w:val="left"/>
      <w:pPr>
        <w:ind w:left="420" w:hanging="420"/>
      </w:pPr>
      <w:rPr>
        <w:rFonts w:hint="default" w:ascii="Wingdings" w:hAnsi="Wingdings"/>
      </w:rPr>
    </w:lvl>
  </w:abstractNum>
  <w:abstractNum w:abstractNumId="4">
    <w:nsid w:val="CF896E05"/>
    <w:multiLevelType w:val="multilevel"/>
    <w:tmpl w:val="CF896E05"/>
    <w:lvl w:ilvl="0" w:tentative="0">
      <w:start w:val="1"/>
      <w:numFmt w:val="bullet"/>
      <w:lvlText w:val=""/>
      <w:lvlJc w:val="left"/>
      <w:pPr>
        <w:ind w:left="840" w:hanging="420"/>
      </w:pPr>
      <w:rPr>
        <w:rFonts w:hint="default" w:ascii="Wingdings" w:hAnsi="Wingdings"/>
      </w:rPr>
    </w:lvl>
    <w:lvl w:ilvl="1" w:tentative="0">
      <w:start w:val="1"/>
      <w:numFmt w:val="bullet"/>
      <w:suff w:val="space"/>
      <w:lvlText w:val=""/>
      <w:lvlJc w:val="left"/>
      <w:pPr>
        <w:ind w:left="840" w:hanging="420"/>
      </w:pPr>
      <w:rPr>
        <w:rFonts w:hint="default" w:ascii="Wingdings" w:hAnsi="Wingdings"/>
        <w:sz w:val="24"/>
        <w:szCs w:val="24"/>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FA3B3437"/>
    <w:multiLevelType w:val="multilevel"/>
    <w:tmpl w:val="FA3B3437"/>
    <w:lvl w:ilvl="0" w:tentative="0">
      <w:start w:val="1"/>
      <w:numFmt w:val="decimal"/>
      <w:suff w:val="nothing"/>
      <w:lvlText w:val="%1、"/>
      <w:lvlJc w:val="left"/>
      <w:pPr>
        <w:ind w:left="704" w:hanging="420"/>
      </w:pPr>
      <w:rPr>
        <w:rFonts w:hint="eastAsia"/>
        <w:sz w:val="28"/>
      </w:rPr>
    </w:lvl>
    <w:lvl w:ilvl="1" w:tentative="0">
      <w:start w:val="1"/>
      <w:numFmt w:val="decimal"/>
      <w:lvlText w:val="%2、"/>
      <w:lvlJc w:val="left"/>
      <w:pPr>
        <w:ind w:left="1064" w:hanging="36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FAF57409"/>
    <w:multiLevelType w:val="singleLevel"/>
    <w:tmpl w:val="FAF57409"/>
    <w:lvl w:ilvl="0" w:tentative="0">
      <w:start w:val="1"/>
      <w:numFmt w:val="decimal"/>
      <w:suff w:val="nothing"/>
      <w:lvlText w:val="%1."/>
      <w:lvlJc w:val="left"/>
    </w:lvl>
  </w:abstractNum>
  <w:abstractNum w:abstractNumId="7">
    <w:nsid w:val="FD1B504B"/>
    <w:multiLevelType w:val="singleLevel"/>
    <w:tmpl w:val="FD1B504B"/>
    <w:lvl w:ilvl="0" w:tentative="0">
      <w:start w:val="1"/>
      <w:numFmt w:val="bullet"/>
      <w:lvlText w:val=""/>
      <w:lvlJc w:val="left"/>
      <w:pPr>
        <w:ind w:left="420" w:hanging="420"/>
      </w:pPr>
      <w:rPr>
        <w:rFonts w:hint="default" w:ascii="Wingdings" w:hAnsi="Wingdings"/>
      </w:rPr>
    </w:lvl>
  </w:abstractNum>
  <w:abstractNum w:abstractNumId="8">
    <w:nsid w:val="08CBD28C"/>
    <w:multiLevelType w:val="multilevel"/>
    <w:tmpl w:val="08CBD28C"/>
    <w:lvl w:ilvl="0" w:tentative="0">
      <w:start w:val="1"/>
      <w:numFmt w:val="decimal"/>
      <w:lvlText w:val="%1）"/>
      <w:lvlJc w:val="left"/>
      <w:pPr>
        <w:tabs>
          <w:tab w:val="left" w:pos="510"/>
        </w:tabs>
        <w:ind w:left="0" w:firstLine="340"/>
      </w:pPr>
      <w:rPr>
        <w:rFonts w:hint="eastAsia"/>
        <w:b w:val="0"/>
        <w:i w:val="0"/>
        <w:sz w:val="24"/>
      </w:rPr>
    </w:lvl>
    <w:lvl w:ilvl="1" w:tentative="0">
      <w:start w:val="1"/>
      <w:numFmt w:val="bullet"/>
      <w:lvlText w:val=""/>
      <w:lvlJc w:val="left"/>
      <w:pPr>
        <w:tabs>
          <w:tab w:val="left" w:pos="704"/>
        </w:tabs>
        <w:ind w:left="420" w:firstLine="0"/>
      </w:pPr>
      <w:rPr>
        <w:rFonts w:hint="default" w:ascii="Wingdings" w:hAnsi="Wingdings"/>
        <w:b w:val="0"/>
        <w:i w:val="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BFA1DAF"/>
    <w:multiLevelType w:val="multilevel"/>
    <w:tmpl w:val="0BFA1D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CA659EF"/>
    <w:multiLevelType w:val="singleLevel"/>
    <w:tmpl w:val="0CA659EF"/>
    <w:lvl w:ilvl="0" w:tentative="0">
      <w:start w:val="1"/>
      <w:numFmt w:val="bullet"/>
      <w:lvlText w:val=""/>
      <w:lvlJc w:val="left"/>
      <w:pPr>
        <w:ind w:left="420" w:hanging="420"/>
      </w:pPr>
      <w:rPr>
        <w:rFonts w:hint="default" w:ascii="Wingdings" w:hAnsi="Wingdings"/>
      </w:rPr>
    </w:lvl>
  </w:abstractNum>
  <w:abstractNum w:abstractNumId="11">
    <w:nsid w:val="2BF10DDE"/>
    <w:multiLevelType w:val="multilevel"/>
    <w:tmpl w:val="2BF10DDE"/>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5447908"/>
    <w:multiLevelType w:val="multilevel"/>
    <w:tmpl w:val="45447908"/>
    <w:lvl w:ilvl="0" w:tentative="0">
      <w:start w:val="1"/>
      <w:numFmt w:val="decimal"/>
      <w:lvlText w:val="%1)"/>
      <w:lvlJc w:val="left"/>
      <w:pPr>
        <w:tabs>
          <w:tab w:val="left" w:pos="1136"/>
        </w:tabs>
        <w:ind w:left="480" w:firstLine="6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510"/>
        </w:tabs>
        <w:ind w:left="0" w:firstLine="340"/>
      </w:pPr>
      <w:rPr>
        <w:rFonts w:hint="eastAsia"/>
        <w:b w:val="0"/>
        <w:i w:val="0"/>
        <w:sz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B9E527B"/>
    <w:multiLevelType w:val="multilevel"/>
    <w:tmpl w:val="4B9E527B"/>
    <w:lvl w:ilvl="0" w:tentative="0">
      <w:start w:val="1"/>
      <w:numFmt w:val="bullet"/>
      <w:lvlText w:val=""/>
      <w:lvlJc w:val="left"/>
      <w:pPr>
        <w:ind w:left="0" w:firstLine="48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14">
    <w:nsid w:val="5DFD0B03"/>
    <w:multiLevelType w:val="multilevel"/>
    <w:tmpl w:val="5DFD0B03"/>
    <w:lvl w:ilvl="0" w:tentative="0">
      <w:start w:val="1"/>
      <w:numFmt w:val="decimal"/>
      <w:lvlText w:val="%1）"/>
      <w:lvlJc w:val="left"/>
      <w:pPr>
        <w:tabs>
          <w:tab w:val="left" w:pos="510"/>
        </w:tabs>
        <w:ind w:left="0" w:firstLine="340"/>
      </w:pPr>
      <w:rPr>
        <w:rFonts w:hint="eastAsia"/>
        <w:b w:val="0"/>
        <w:i w:val="0"/>
        <w:sz w:val="24"/>
      </w:rPr>
    </w:lvl>
    <w:lvl w:ilvl="1" w:tentative="0">
      <w:start w:val="1"/>
      <w:numFmt w:val="bullet"/>
      <w:lvlText w:val=""/>
      <w:lvlJc w:val="left"/>
      <w:pPr>
        <w:tabs>
          <w:tab w:val="left" w:pos="704"/>
        </w:tabs>
        <w:ind w:left="420" w:firstLine="0"/>
      </w:pPr>
      <w:rPr>
        <w:rFonts w:hint="default" w:ascii="Wingdings" w:hAnsi="Wingdings"/>
        <w:b w:val="0"/>
        <w:i w:val="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EFA734B"/>
    <w:multiLevelType w:val="multilevel"/>
    <w:tmpl w:val="5EFA734B"/>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79D4EFC"/>
    <w:multiLevelType w:val="singleLevel"/>
    <w:tmpl w:val="679D4EFC"/>
    <w:lvl w:ilvl="0" w:tentative="0">
      <w:start w:val="1"/>
      <w:numFmt w:val="decimal"/>
      <w:lvlText w:val="%1."/>
      <w:lvlJc w:val="left"/>
      <w:pPr>
        <w:tabs>
          <w:tab w:val="left" w:pos="425"/>
        </w:tabs>
        <w:ind w:left="425" w:hanging="425"/>
      </w:pPr>
      <w:rPr>
        <w:rFonts w:hint="eastAsia" w:ascii="宋体" w:eastAsia="宋体" w:cs="Times New Roman"/>
      </w:rPr>
    </w:lvl>
  </w:abstractNum>
  <w:num w:numId="1">
    <w:abstractNumId w:val="5"/>
  </w:num>
  <w:num w:numId="2">
    <w:abstractNumId w:val="7"/>
  </w:num>
  <w:num w:numId="3">
    <w:abstractNumId w:val="2"/>
  </w:num>
  <w:num w:numId="4">
    <w:abstractNumId w:val="14"/>
  </w:num>
  <w:num w:numId="5">
    <w:abstractNumId w:val="13"/>
  </w:num>
  <w:num w:numId="6">
    <w:abstractNumId w:val="8"/>
  </w:num>
  <w:num w:numId="7">
    <w:abstractNumId w:val="12"/>
  </w:num>
  <w:num w:numId="8">
    <w:abstractNumId w:val="0"/>
  </w:num>
  <w:num w:numId="9">
    <w:abstractNumId w:val="4"/>
  </w:num>
  <w:num w:numId="10">
    <w:abstractNumId w:val="10"/>
  </w:num>
  <w:num w:numId="11">
    <w:abstractNumId w:val="15"/>
  </w:num>
  <w:num w:numId="12">
    <w:abstractNumId w:val="3"/>
  </w:num>
  <w:num w:numId="13">
    <w:abstractNumId w:val="11"/>
  </w:num>
  <w:num w:numId="14">
    <w:abstractNumId w:val="1"/>
  </w:num>
  <w:num w:numId="15">
    <w:abstractNumId w:val="6"/>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I2ODYyM2FjNGQ0Y2ZmNmZlM2VmZGJhMjI2ZGEifQ=="/>
  </w:docVars>
  <w:rsids>
    <w:rsidRoot w:val="1AA24D9F"/>
    <w:rsid w:val="005F037B"/>
    <w:rsid w:val="040C722A"/>
    <w:rsid w:val="0470756C"/>
    <w:rsid w:val="07011CC2"/>
    <w:rsid w:val="07644792"/>
    <w:rsid w:val="07891B00"/>
    <w:rsid w:val="07C0138D"/>
    <w:rsid w:val="09284798"/>
    <w:rsid w:val="098001BD"/>
    <w:rsid w:val="09B54729"/>
    <w:rsid w:val="09B61A62"/>
    <w:rsid w:val="0B7528D2"/>
    <w:rsid w:val="0C4A5173"/>
    <w:rsid w:val="0F2B6FD9"/>
    <w:rsid w:val="0F634E4C"/>
    <w:rsid w:val="111122A8"/>
    <w:rsid w:val="11907ADE"/>
    <w:rsid w:val="13A02D2C"/>
    <w:rsid w:val="13E644AD"/>
    <w:rsid w:val="14663C85"/>
    <w:rsid w:val="16CC1E75"/>
    <w:rsid w:val="183C240D"/>
    <w:rsid w:val="1A2C0FB5"/>
    <w:rsid w:val="1AA24D9F"/>
    <w:rsid w:val="1E2C3ABF"/>
    <w:rsid w:val="1F753FA8"/>
    <w:rsid w:val="1FD63A3D"/>
    <w:rsid w:val="20207CC4"/>
    <w:rsid w:val="26CC51BF"/>
    <w:rsid w:val="26DB60FD"/>
    <w:rsid w:val="279664C8"/>
    <w:rsid w:val="28DA2E89"/>
    <w:rsid w:val="2A4254F9"/>
    <w:rsid w:val="2D1F32F4"/>
    <w:rsid w:val="2E9B7B4A"/>
    <w:rsid w:val="323B4D81"/>
    <w:rsid w:val="34B70380"/>
    <w:rsid w:val="365767C4"/>
    <w:rsid w:val="36601908"/>
    <w:rsid w:val="36DD0EA9"/>
    <w:rsid w:val="375A4E1C"/>
    <w:rsid w:val="37A34A15"/>
    <w:rsid w:val="3AB53CA0"/>
    <w:rsid w:val="3AE174A3"/>
    <w:rsid w:val="3C2459F9"/>
    <w:rsid w:val="3C6A241E"/>
    <w:rsid w:val="3C75564A"/>
    <w:rsid w:val="3DCE2130"/>
    <w:rsid w:val="3E8422F6"/>
    <w:rsid w:val="3F4C14EF"/>
    <w:rsid w:val="42271614"/>
    <w:rsid w:val="43326C4D"/>
    <w:rsid w:val="43446334"/>
    <w:rsid w:val="44A84E71"/>
    <w:rsid w:val="477DCE1E"/>
    <w:rsid w:val="495A40B2"/>
    <w:rsid w:val="4E102281"/>
    <w:rsid w:val="555E1B24"/>
    <w:rsid w:val="56872A74"/>
    <w:rsid w:val="573E1E21"/>
    <w:rsid w:val="5B487E91"/>
    <w:rsid w:val="5C402BE9"/>
    <w:rsid w:val="5CF9550F"/>
    <w:rsid w:val="5EFEBDE8"/>
    <w:rsid w:val="5F013C4C"/>
    <w:rsid w:val="5FE91C23"/>
    <w:rsid w:val="63BC2837"/>
    <w:rsid w:val="63F85CD2"/>
    <w:rsid w:val="66BB0B84"/>
    <w:rsid w:val="68CA2609"/>
    <w:rsid w:val="68CC1AED"/>
    <w:rsid w:val="69BB0F42"/>
    <w:rsid w:val="6A0740E0"/>
    <w:rsid w:val="6A637494"/>
    <w:rsid w:val="6A815C41"/>
    <w:rsid w:val="6BCF62E6"/>
    <w:rsid w:val="6CD3A16D"/>
    <w:rsid w:val="6D535020"/>
    <w:rsid w:val="6E5F49A6"/>
    <w:rsid w:val="6FFF37D2"/>
    <w:rsid w:val="70DE2EF1"/>
    <w:rsid w:val="764D5213"/>
    <w:rsid w:val="76511BC9"/>
    <w:rsid w:val="77822FF8"/>
    <w:rsid w:val="77A979EB"/>
    <w:rsid w:val="7A29721B"/>
    <w:rsid w:val="7C3C4588"/>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8">
    <w:name w:val="Default Paragraph Font"/>
    <w:qFormat/>
    <w:uiPriority w:val="0"/>
    <w:rPr>
      <w:rFonts w:eastAsia="微软雅黑" w:asciiTheme="minorAscii" w:hAnsiTheme="minorAscii"/>
    </w:rPr>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pPr>
    <w:rPr>
      <w:rFonts w:ascii="Calibri" w:hAnsi="Calibri"/>
    </w:rPr>
  </w:style>
  <w:style w:type="paragraph" w:styleId="12">
    <w:name w:val="footer"/>
    <w:basedOn w:val="1"/>
    <w:qFormat/>
    <w:uiPriority w:val="0"/>
    <w:pPr>
      <w:tabs>
        <w:tab w:val="center" w:pos="4153"/>
        <w:tab w:val="right" w:pos="8306"/>
      </w:tabs>
      <w:snapToGrid w:val="0"/>
      <w:jc w:val="left"/>
    </w:pPr>
    <w:rPr>
      <w:kern w:val="0"/>
      <w:sz w:val="20"/>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20"/>
      <w:szCs w:val="20"/>
    </w:rPr>
  </w:style>
  <w:style w:type="paragraph" w:styleId="14">
    <w:name w:val="toc 1"/>
    <w:basedOn w:val="1"/>
    <w:next w:val="1"/>
    <w:qFormat/>
    <w:uiPriority w:val="39"/>
    <w:pPr>
      <w:spacing w:line="360" w:lineRule="auto"/>
    </w:pPr>
    <w:rPr>
      <w:rFonts w:eastAsia="方正楷体_GBK"/>
      <w:sz w:val="24"/>
    </w:rPr>
  </w:style>
  <w:style w:type="paragraph" w:styleId="15">
    <w:name w:val="Body Text First Indent"/>
    <w:basedOn w:val="11"/>
    <w:qFormat/>
    <w:uiPriority w:val="0"/>
    <w:pPr>
      <w:ind w:firstLine="420" w:firstLineChars="100"/>
    </w:pPr>
    <w:rPr>
      <w:rFonts w:cs="Calibri"/>
    </w:rPr>
  </w:style>
  <w:style w:type="table" w:styleId="17">
    <w:name w:val="Table Grid"/>
    <w:basedOn w:val="16"/>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出段落1"/>
    <w:basedOn w:val="1"/>
    <w:qFormat/>
    <w:uiPriority w:val="0"/>
    <w:pPr>
      <w:ind w:firstLine="420" w:firstLineChars="200"/>
    </w:pPr>
    <w:rPr>
      <w:rFonts w:ascii="Calibri" w:hAnsi="Calibri"/>
      <w:szCs w:val="22"/>
    </w:rPr>
  </w:style>
  <w:style w:type="paragraph" w:styleId="20">
    <w:name w:val="List Paragraph"/>
    <w:basedOn w:val="1"/>
    <w:qFormat/>
    <w:uiPriority w:val="34"/>
    <w:pPr>
      <w:spacing w:line="360" w:lineRule="auto"/>
      <w:ind w:firstLine="42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3720</Words>
  <Characters>3884</Characters>
  <Lines>0</Lines>
  <Paragraphs>0</Paragraphs>
  <TotalTime>29</TotalTime>
  <ScaleCrop>false</ScaleCrop>
  <LinksUpToDate>false</LinksUpToDate>
  <CharactersWithSpaces>3913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胡大彪</cp:lastModifiedBy>
  <dcterms:modified xsi:type="dcterms:W3CDTF">2025-07-14T07:52:38Z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C93220BF2AA342FF9EB3019A6D1A4729_13</vt:lpwstr>
  </property>
  <property fmtid="{D5CDD505-2E9C-101B-9397-08002B2CF9AE}" pid="6" name="KSOTemplateDocerSaveRecord">
    <vt:lpwstr>eyJoZGlkIjoiMDI3MDc0ZmY3MmE5OGNmZjFiNjQ2NzJiZjEwMjkzZjMiLCJ1c2VySWQiOiI0NDU5MDA0MjQifQ==</vt:lpwstr>
  </property>
</Properties>
</file>